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lang w:val="en-US" w:eastAsia="zh-CN"/>
        </w:rPr>
      </w:pPr>
      <w:r>
        <w:rPr>
          <w:rFonts w:hint="eastAsia"/>
          <w:lang w:val="en-US" w:eastAsia="zh-CN"/>
        </w:rPr>
        <w:t>2018年执业药师考试教材变动情况汇总</w:t>
      </w:r>
    </w:p>
    <w:p>
      <w:pPr>
        <w:pStyle w:val="3"/>
        <w:jc w:val="center"/>
      </w:pPr>
      <w:r>
        <w:rPr>
          <w:lang w:val="en-US" w:eastAsia="zh-CN"/>
        </w:rPr>
        <w:t>药学专业知识（一）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color w:val="3E3E3E"/>
          <w:sz w:val="24"/>
          <w:szCs w:val="24"/>
        </w:rPr>
      </w:pP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color w:val="3E3E3E"/>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4" w:lineRule="atLeast"/>
        <w:ind w:left="0" w:right="0"/>
        <w:jc w:val="center"/>
        <w:rPr>
          <w:color w:val="3E3E3E"/>
          <w:sz w:val="24"/>
          <w:szCs w:val="24"/>
        </w:rPr>
      </w:pPr>
      <w:r>
        <w:rPr>
          <w:rStyle w:val="10"/>
          <w:color w:val="3E3E3E"/>
          <w:sz w:val="22"/>
          <w:szCs w:val="22"/>
          <w:bdr w:val="none" w:color="auto" w:sz="0" w:space="0"/>
          <w:shd w:val="clear" w:fill="FFFFFF"/>
        </w:rPr>
        <w:t>第三章 药物固体制剂和液体制剂与临床应用</w:t>
      </w:r>
    </w:p>
    <w:tbl>
      <w:tblPr>
        <w:tblW w:w="100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19"/>
        <w:gridCol w:w="3629"/>
        <w:gridCol w:w="886"/>
        <w:gridCol w:w="4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548" w:type="dxa"/>
            <w:gridSpan w:val="2"/>
            <w:tcBorders>
              <w:top w:val="single" w:color="auto" w:sz="6" w:space="0"/>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2017版教材</w:t>
            </w:r>
          </w:p>
        </w:tc>
        <w:tc>
          <w:tcPr>
            <w:tcW w:w="5499" w:type="dxa"/>
            <w:gridSpan w:val="2"/>
            <w:tcBorders>
              <w:top w:val="single" w:color="auto" w:sz="6" w:space="0"/>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2018版教材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3629"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旧内容</w:t>
            </w:r>
          </w:p>
        </w:tc>
        <w:tc>
          <w:tcPr>
            <w:tcW w:w="886"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4613"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新内容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73页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纳米银溶胶临床适应症</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73页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C00000"/>
                <w:sz w:val="22"/>
                <w:szCs w:val="22"/>
                <w:bdr w:val="none" w:color="auto" w:sz="0" w:space="0"/>
              </w:rPr>
              <w:t>注解中添加</w:t>
            </w:r>
            <w:r>
              <w:rPr>
                <w:sz w:val="22"/>
                <w:szCs w:val="22"/>
                <w:bdr w:val="none" w:color="auto" w:sz="0" w:space="0"/>
              </w:rPr>
              <w:t>：“以纳米溶胶为抗菌剂制得纳米银抗菌内墙涂料”</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C00000"/>
                <w:sz w:val="22"/>
                <w:szCs w:val="22"/>
                <w:bdr w:val="none" w:color="auto" w:sz="0" w:space="0"/>
              </w:rPr>
              <w:t>临床适应症删除</w:t>
            </w:r>
            <w:r>
              <w:rPr>
                <w:sz w:val="22"/>
                <w:szCs w:val="22"/>
                <w:bdr w:val="none" w:color="auto" w:sz="0" w:space="0"/>
              </w:rPr>
              <w:t>：“以纳米银溶剂为抗菌剂制的纳米银抗菌内墙涂料”</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color w:val="3E3E3E"/>
          <w:sz w:val="24"/>
          <w:szCs w:val="24"/>
        </w:rPr>
      </w:pPr>
      <w:r>
        <w:rPr>
          <w:color w:val="3E3E3E"/>
          <w:sz w:val="24"/>
          <w:szCs w:val="24"/>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4" w:lineRule="atLeast"/>
        <w:ind w:left="0" w:right="0"/>
        <w:jc w:val="center"/>
        <w:rPr>
          <w:color w:val="3E3E3E"/>
          <w:sz w:val="24"/>
          <w:szCs w:val="24"/>
        </w:rPr>
      </w:pPr>
      <w:r>
        <w:rPr>
          <w:rStyle w:val="10"/>
          <w:color w:val="3E3E3E"/>
          <w:sz w:val="22"/>
          <w:szCs w:val="22"/>
          <w:bdr w:val="none" w:color="auto" w:sz="0" w:space="0"/>
          <w:shd w:val="clear" w:fill="FFFFFF"/>
        </w:rPr>
        <w:t>第十一章 常用药物的结构特征与作用</w:t>
      </w:r>
    </w:p>
    <w:tbl>
      <w:tblPr>
        <w:tblW w:w="100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19"/>
        <w:gridCol w:w="3629"/>
        <w:gridCol w:w="886"/>
        <w:gridCol w:w="4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548" w:type="dxa"/>
            <w:gridSpan w:val="2"/>
            <w:tcBorders>
              <w:top w:val="single" w:color="auto" w:sz="6" w:space="0"/>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2017版教材</w:t>
            </w:r>
          </w:p>
        </w:tc>
        <w:tc>
          <w:tcPr>
            <w:tcW w:w="5499" w:type="dxa"/>
            <w:gridSpan w:val="2"/>
            <w:tcBorders>
              <w:top w:val="single" w:color="auto" w:sz="6" w:space="0"/>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2018版教材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3629"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旧内容</w:t>
            </w:r>
          </w:p>
        </w:tc>
        <w:tc>
          <w:tcPr>
            <w:tcW w:w="886"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4613"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新内容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260页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当5位为单取代或无取代基时，口服时不易被吸收</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260页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当5位为单取代</w:t>
            </w:r>
            <w:r>
              <w:rPr>
                <w:color w:val="C00000"/>
                <w:sz w:val="22"/>
                <w:szCs w:val="22"/>
                <w:bdr w:val="none" w:color="auto" w:sz="0" w:space="0"/>
              </w:rPr>
              <w:t>基</w:t>
            </w:r>
            <w:r>
              <w:rPr>
                <w:sz w:val="22"/>
                <w:szCs w:val="22"/>
                <w:bdr w:val="none" w:color="auto" w:sz="0" w:space="0"/>
              </w:rPr>
              <w:t>或无取代基时，口服时不易被吸收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280页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西咪替丁：</w:t>
            </w:r>
            <w:r>
              <w:rPr>
                <w:color w:val="C00000"/>
                <w:sz w:val="22"/>
                <w:szCs w:val="22"/>
                <w:bdr w:val="none" w:color="auto" w:sz="0" w:space="0"/>
              </w:rPr>
              <w:t>mp.139℃~140℃</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280页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西咪替丁：</w:t>
            </w:r>
            <w:r>
              <w:rPr>
                <w:color w:val="C00000"/>
                <w:sz w:val="22"/>
                <w:szCs w:val="22"/>
                <w:bdr w:val="none" w:color="auto" w:sz="0" w:space="0"/>
              </w:rPr>
              <w:t>熔点139℃~144℃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318页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C00000"/>
                <w:sz w:val="22"/>
                <w:szCs w:val="22"/>
                <w:bdr w:val="none" w:color="auto" w:sz="0" w:space="0"/>
              </w:rPr>
              <w:t>八十年代后期</w:t>
            </w:r>
            <w:r>
              <w:rPr>
                <w:sz w:val="22"/>
                <w:szCs w:val="22"/>
                <w:bdr w:val="none" w:color="auto" w:sz="0" w:space="0"/>
              </w:rPr>
              <w:t>发现喜树碱类药物的作用靶点是作用与DNA拓扑异构酶Ⅰ</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318页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C00000"/>
                <w:sz w:val="22"/>
                <w:szCs w:val="22"/>
                <w:bdr w:val="none" w:color="auto" w:sz="0" w:space="0"/>
              </w:rPr>
              <w:t>20世纪80年代</w:t>
            </w:r>
            <w:r>
              <w:rPr>
                <w:sz w:val="22"/>
                <w:szCs w:val="22"/>
                <w:bdr w:val="none" w:color="auto" w:sz="0" w:space="0"/>
              </w:rPr>
              <w:t>后期发现喜树碱类药物的作用靶点是作用与DNA拓扑异构酶Ⅰ</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color w:val="3E3E3E"/>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color w:val="3E3E3E"/>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color w:val="3E3E3E"/>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jc w:val="center"/>
      </w:pPr>
      <w:r>
        <w:rPr>
          <w:lang w:val="en-US" w:eastAsia="zh-CN"/>
        </w:rPr>
        <w:t>药学专业知识（二）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color w:val="3E3E3E"/>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4" w:lineRule="atLeast"/>
        <w:ind w:left="0" w:right="0"/>
        <w:jc w:val="center"/>
        <w:rPr>
          <w:color w:val="3E3E3E"/>
          <w:sz w:val="24"/>
          <w:szCs w:val="24"/>
        </w:rPr>
      </w:pPr>
      <w:r>
        <w:rPr>
          <w:rStyle w:val="10"/>
          <w:color w:val="3E3E3E"/>
          <w:sz w:val="22"/>
          <w:szCs w:val="22"/>
          <w:bdr w:val="none" w:color="auto" w:sz="0" w:space="0"/>
          <w:shd w:val="clear" w:fill="FFFFFF"/>
        </w:rPr>
        <w:t>第一章 精神与中枢神经系统疾病用药</w:t>
      </w:r>
    </w:p>
    <w:tbl>
      <w:tblPr>
        <w:tblW w:w="100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19"/>
        <w:gridCol w:w="3629"/>
        <w:gridCol w:w="886"/>
        <w:gridCol w:w="4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548" w:type="dxa"/>
            <w:gridSpan w:val="2"/>
            <w:tcBorders>
              <w:top w:val="single" w:color="auto" w:sz="6" w:space="0"/>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2017版教材</w:t>
            </w:r>
          </w:p>
        </w:tc>
        <w:tc>
          <w:tcPr>
            <w:tcW w:w="5499" w:type="dxa"/>
            <w:gridSpan w:val="2"/>
            <w:tcBorders>
              <w:top w:val="single" w:color="auto" w:sz="6" w:space="0"/>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2018版教材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3629"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旧内容</w:t>
            </w:r>
          </w:p>
        </w:tc>
        <w:tc>
          <w:tcPr>
            <w:tcW w:w="886"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4613"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新内容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3页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（3）与西咪替丁合用，</w:t>
            </w:r>
            <w:r>
              <w:rPr>
                <w:color w:val="C00000"/>
                <w:sz w:val="22"/>
                <w:szCs w:val="22"/>
                <w:bdr w:val="none" w:color="auto" w:sz="0" w:space="0"/>
              </w:rPr>
              <w:t>可抑制由肝脏转化本类药的中间代谢产物如氯氮卓和地西泮，使清除減慢</w:t>
            </w:r>
            <w:r>
              <w:rPr>
                <w:color w:val="006699"/>
                <w:sz w:val="22"/>
                <w:szCs w:val="22"/>
                <w:bdr w:val="none" w:color="auto" w:sz="0" w:space="0"/>
              </w:rPr>
              <w:t>，</w:t>
            </w:r>
            <w:r>
              <w:rPr>
                <w:sz w:val="22"/>
                <w:szCs w:val="22"/>
                <w:bdr w:val="none" w:color="auto" w:sz="0" w:space="0"/>
              </w:rPr>
              <w:t>血浆药物浓度升高，但对劳拉西泮无影响。</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3页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（3）与西咪替丁合用，</w:t>
            </w:r>
            <w:r>
              <w:rPr>
                <w:color w:val="C00000"/>
                <w:sz w:val="22"/>
                <w:szCs w:val="22"/>
                <w:bdr w:val="none" w:color="auto" w:sz="0" w:space="0"/>
              </w:rPr>
              <w:t>可抑制本类药物在肝脏的氧化代谢，如抑制氯氮卓和地西泮代谢，</w:t>
            </w:r>
            <w:r>
              <w:rPr>
                <w:sz w:val="22"/>
                <w:szCs w:val="22"/>
                <w:bdr w:val="none" w:color="auto" w:sz="0" w:space="0"/>
              </w:rPr>
              <w:t>血浆药物浓度升高，但对劳拉西泮无影响。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3页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可选用唑吡坦、艾司佐匹克隆，其不良反应少，</w:t>
            </w:r>
            <w:r>
              <w:rPr>
                <w:color w:val="C00000"/>
                <w:sz w:val="22"/>
                <w:szCs w:val="22"/>
                <w:bdr w:val="none" w:color="auto" w:sz="0" w:space="0"/>
              </w:rPr>
              <w:t>尤其无镇静和宿醉现象</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3页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可选用唑吡坦、艾司佐匹克隆,其不良反应少, </w:t>
            </w:r>
            <w:r>
              <w:rPr>
                <w:color w:val="C00000"/>
                <w:sz w:val="22"/>
                <w:szCs w:val="22"/>
                <w:bdr w:val="none" w:color="auto" w:sz="0" w:space="0"/>
              </w:rPr>
              <w:t>尤其无宿醉现象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5页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佐匹克隆：【用法与用量】口服：</w:t>
            </w:r>
            <w:r>
              <w:rPr>
                <w:bdr w:val="none" w:color="auto" w:sz="0" w:space="0"/>
              </w:rPr>
              <w:t> 成人一次7.5mg，老年、体弱或肝功能不全者一次3.75mg，</w:t>
            </w:r>
            <w:r>
              <w:rPr>
                <w:color w:val="C00000"/>
                <w:bdr w:val="none" w:color="auto" w:sz="0" w:space="0"/>
              </w:rPr>
              <w:t>睡前</w:t>
            </w:r>
            <w:r>
              <w:rPr>
                <w:color w:val="C00000"/>
                <w:sz w:val="22"/>
                <w:szCs w:val="22"/>
                <w:bdr w:val="none" w:color="auto" w:sz="0" w:space="0"/>
              </w:rPr>
              <w:t>服用</w:t>
            </w:r>
            <w:r>
              <w:rPr>
                <w:sz w:val="22"/>
                <w:szCs w:val="22"/>
                <w:bdr w:val="none" w:color="auto" w:sz="0" w:space="0"/>
              </w:rPr>
              <w:t>。</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5页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佐匹克隆：【用法与用量】口服：</w:t>
            </w:r>
            <w:r>
              <w:rPr>
                <w:color w:val="C00000"/>
                <w:sz w:val="22"/>
                <w:szCs w:val="22"/>
                <w:bdr w:val="none" w:color="auto" w:sz="0" w:space="0"/>
              </w:rPr>
              <w:t>睡</w:t>
            </w:r>
            <w:r>
              <w:rPr>
                <w:color w:val="C00000"/>
                <w:bdr w:val="none" w:color="auto" w:sz="0" w:space="0"/>
              </w:rPr>
              <w:t>前服用</w:t>
            </w:r>
            <w:r>
              <w:rPr>
                <w:bdr w:val="none" w:color="auto" w:sz="0" w:space="0"/>
              </w:rPr>
              <w:t>，成人一次7.5mg,老年、体弱或肝功能不全者一次3.75mg。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7页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阿斯综合征</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7页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C00000"/>
                <w:sz w:val="22"/>
                <w:szCs w:val="22"/>
                <w:bdr w:val="none" w:color="auto" w:sz="0" w:space="0"/>
              </w:rPr>
              <w:t>阿-斯综合征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9页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卡马西平：【适应征】用于治疗癫痫、躁狂症、三叉神经痛、神经源性尿崩症、糖尿病神经病变引起的疼痛；预防或治疗</w:t>
            </w:r>
            <w:r>
              <w:rPr>
                <w:color w:val="C00000"/>
                <w:sz w:val="22"/>
                <w:szCs w:val="22"/>
                <w:bdr w:val="none" w:color="auto" w:sz="0" w:space="0"/>
              </w:rPr>
              <w:t>躁郁症</w:t>
            </w:r>
            <w:r>
              <w:rPr>
                <w:sz w:val="22"/>
                <w:szCs w:val="22"/>
                <w:bdr w:val="none" w:color="auto" w:sz="0" w:space="0"/>
              </w:rPr>
              <w:t>。</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9页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卡马西平：【适应征】用于治疗癫痫、躁狂症、三叉神经痛、神经源性尿崩症、糖尿病神经病变引起的疼痛；预防或治疗</w:t>
            </w:r>
            <w:r>
              <w:rPr>
                <w:color w:val="C00000"/>
                <w:sz w:val="22"/>
                <w:szCs w:val="22"/>
                <w:bdr w:val="none" w:color="auto" w:sz="0" w:space="0"/>
              </w:rPr>
              <w:t>躁狂-抑郁症</w:t>
            </w:r>
            <w:r>
              <w:rPr>
                <w:sz w:val="22"/>
                <w:szCs w:val="22"/>
                <w:bdr w:val="none" w:color="auto" w:sz="0" w:space="0"/>
              </w:rPr>
              <w:t>。</w:t>
            </w:r>
            <w:r>
              <w:rPr>
                <w:color w:val="C00000"/>
                <w:sz w:val="22"/>
                <w:szCs w:val="22"/>
                <w:bdr w:val="none" w:color="auto" w:sz="0" w:space="0"/>
              </w:rPr>
              <w:t>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24页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可待因：用于（1）镇咳，用于较</w:t>
            </w:r>
            <w:r>
              <w:rPr>
                <w:color w:val="C00000"/>
                <w:sz w:val="22"/>
                <w:szCs w:val="22"/>
                <w:bdr w:val="none" w:color="auto" w:sz="0" w:space="0"/>
              </w:rPr>
              <w:t>剧</w:t>
            </w:r>
            <w:r>
              <w:rPr>
                <w:sz w:val="22"/>
                <w:szCs w:val="22"/>
                <w:bdr w:val="none" w:color="auto" w:sz="0" w:space="0"/>
              </w:rPr>
              <w:t>的频繁干咳</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24页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可待因：可待因：用于（1）镇咳，用于较</w:t>
            </w:r>
            <w:r>
              <w:rPr>
                <w:color w:val="C00000"/>
                <w:sz w:val="22"/>
                <w:szCs w:val="22"/>
                <w:bdr w:val="none" w:color="auto" w:sz="0" w:space="0"/>
              </w:rPr>
              <w:t>剧烈</w:t>
            </w:r>
            <w:r>
              <w:rPr>
                <w:sz w:val="22"/>
                <w:szCs w:val="22"/>
                <w:bdr w:val="none" w:color="auto" w:sz="0" w:space="0"/>
              </w:rPr>
              <w:t>的频繁干咳</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color w:val="3E3E3E"/>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4" w:lineRule="atLeast"/>
        <w:ind w:left="0" w:right="0"/>
        <w:jc w:val="center"/>
        <w:rPr>
          <w:color w:val="3E3E3E"/>
          <w:sz w:val="24"/>
          <w:szCs w:val="24"/>
        </w:rPr>
      </w:pPr>
      <w:r>
        <w:rPr>
          <w:rStyle w:val="10"/>
          <w:color w:val="3E3E3E"/>
          <w:sz w:val="22"/>
          <w:szCs w:val="22"/>
          <w:bdr w:val="none" w:color="auto" w:sz="0" w:space="0"/>
          <w:shd w:val="clear" w:fill="FFFFFF"/>
        </w:rPr>
        <w:t>第三章 呼吸系统疾病用药</w:t>
      </w:r>
    </w:p>
    <w:tbl>
      <w:tblPr>
        <w:tblW w:w="100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19"/>
        <w:gridCol w:w="3629"/>
        <w:gridCol w:w="886"/>
        <w:gridCol w:w="4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548" w:type="dxa"/>
            <w:gridSpan w:val="2"/>
            <w:tcBorders>
              <w:top w:val="single" w:color="auto" w:sz="6" w:space="0"/>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2017版教材</w:t>
            </w:r>
          </w:p>
        </w:tc>
        <w:tc>
          <w:tcPr>
            <w:tcW w:w="5499" w:type="dxa"/>
            <w:gridSpan w:val="2"/>
            <w:tcBorders>
              <w:top w:val="single" w:color="auto" w:sz="6" w:space="0"/>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2018版教材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3629"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旧内容</w:t>
            </w:r>
          </w:p>
        </w:tc>
        <w:tc>
          <w:tcPr>
            <w:tcW w:w="886"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4613"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新内容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47页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C00000"/>
                <w:sz w:val="22"/>
                <w:szCs w:val="22"/>
                <w:bdr w:val="none" w:color="auto" w:sz="0" w:space="0"/>
              </w:rPr>
              <w:t>近年来</w:t>
            </w:r>
            <w:r>
              <w:rPr>
                <w:color w:val="006699"/>
                <w:sz w:val="22"/>
                <w:szCs w:val="22"/>
                <w:bdr w:val="none" w:color="auto" w:sz="0" w:space="0"/>
              </w:rPr>
              <w:t>, </w:t>
            </w:r>
            <w:r>
              <w:rPr>
                <w:sz w:val="22"/>
                <w:szCs w:val="22"/>
                <w:bdr w:val="none" w:color="auto" w:sz="0" w:space="0"/>
              </w:rPr>
              <w:t>2014年重度哮喘国际诊疗指南推荐吸入糖皮质激素与长效β2受体激动剂……</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47页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 2014年重度哮喘国际诊疗指南推荐吸入糖皮质激素与长效β2受体激动剂……</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color w:val="3E3E3E"/>
          <w:sz w:val="24"/>
          <w:szCs w:val="24"/>
        </w:rPr>
      </w:pPr>
      <w:r>
        <w:rPr>
          <w:color w:val="0C0C0C"/>
          <w:sz w:val="24"/>
          <w:szCs w:val="24"/>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4" w:lineRule="atLeast"/>
        <w:ind w:left="0" w:right="0"/>
        <w:jc w:val="center"/>
        <w:rPr>
          <w:color w:val="3E3E3E"/>
          <w:sz w:val="24"/>
          <w:szCs w:val="24"/>
        </w:rPr>
      </w:pPr>
      <w:r>
        <w:rPr>
          <w:rStyle w:val="10"/>
          <w:color w:val="3E3E3E"/>
          <w:sz w:val="22"/>
          <w:szCs w:val="22"/>
          <w:bdr w:val="none" w:color="auto" w:sz="0" w:space="0"/>
          <w:shd w:val="clear" w:fill="FFFFFF"/>
        </w:rPr>
        <w:t>第四章 消化系统疾病用药</w:t>
      </w:r>
    </w:p>
    <w:tbl>
      <w:tblPr>
        <w:tblW w:w="100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19"/>
        <w:gridCol w:w="3629"/>
        <w:gridCol w:w="886"/>
        <w:gridCol w:w="4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548" w:type="dxa"/>
            <w:gridSpan w:val="2"/>
            <w:tcBorders>
              <w:top w:val="single" w:color="auto" w:sz="6" w:space="0"/>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2017版教材</w:t>
            </w:r>
          </w:p>
        </w:tc>
        <w:tc>
          <w:tcPr>
            <w:tcW w:w="5499" w:type="dxa"/>
            <w:gridSpan w:val="2"/>
            <w:tcBorders>
              <w:top w:val="single" w:color="auto" w:sz="6" w:space="0"/>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2018版教材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3629"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旧内容</w:t>
            </w:r>
          </w:p>
        </w:tc>
        <w:tc>
          <w:tcPr>
            <w:tcW w:w="886"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4613"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新内容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74页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枸橼酸铋钾【注意事项】（1）</w:t>
            </w:r>
            <w:r>
              <w:rPr>
                <w:color w:val="C00000"/>
                <w:sz w:val="22"/>
                <w:szCs w:val="22"/>
                <w:bdr w:val="none" w:color="auto" w:sz="0" w:space="0"/>
              </w:rPr>
              <w:t>正处于</w:t>
            </w:r>
            <w:r>
              <w:rPr>
                <w:sz w:val="22"/>
                <w:szCs w:val="22"/>
                <w:bdr w:val="none" w:color="auto" w:sz="0" w:space="0"/>
              </w:rPr>
              <w:t>急性胃粘膜病时患者，不推荐使用。</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74页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枸橼酸铋钾【注意事项】（1）急性胃粘膜病患者，不推荐使用。</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color w:val="3E3E3E"/>
          <w:sz w:val="24"/>
          <w:szCs w:val="24"/>
        </w:rPr>
      </w:pPr>
      <w:r>
        <w:rPr>
          <w:color w:val="0C0C0C"/>
          <w:sz w:val="24"/>
          <w:szCs w:val="24"/>
          <w:bdr w:val="none" w:color="auto" w:sz="0" w:space="0"/>
          <w:shd w:val="clear" w:fill="FFFFFF"/>
        </w:rPr>
        <w:t> </w:t>
      </w:r>
      <w:r>
        <w:rPr>
          <w:color w:val="3E3E3E"/>
          <w:sz w:val="24"/>
          <w:szCs w:val="24"/>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4" w:lineRule="atLeast"/>
        <w:ind w:left="0" w:right="0"/>
        <w:jc w:val="center"/>
        <w:rPr>
          <w:color w:val="3E3E3E"/>
          <w:sz w:val="24"/>
          <w:szCs w:val="24"/>
        </w:rPr>
      </w:pPr>
      <w:r>
        <w:rPr>
          <w:rStyle w:val="10"/>
          <w:color w:val="3E3E3E"/>
          <w:sz w:val="22"/>
          <w:szCs w:val="22"/>
          <w:bdr w:val="none" w:color="auto" w:sz="0" w:space="0"/>
          <w:shd w:val="clear" w:fill="FFFFFF"/>
        </w:rPr>
        <w:t>第五章 循环系统疾病用药</w:t>
      </w:r>
    </w:p>
    <w:tbl>
      <w:tblPr>
        <w:tblW w:w="100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19"/>
        <w:gridCol w:w="3629"/>
        <w:gridCol w:w="886"/>
        <w:gridCol w:w="4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548" w:type="dxa"/>
            <w:gridSpan w:val="2"/>
            <w:tcBorders>
              <w:top w:val="single" w:color="auto" w:sz="6" w:space="0"/>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2017版教材</w:t>
            </w:r>
          </w:p>
        </w:tc>
        <w:tc>
          <w:tcPr>
            <w:tcW w:w="5499" w:type="dxa"/>
            <w:gridSpan w:val="2"/>
            <w:tcBorders>
              <w:top w:val="single" w:color="auto" w:sz="6" w:space="0"/>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2018版教材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3629"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旧内容</w:t>
            </w:r>
          </w:p>
        </w:tc>
        <w:tc>
          <w:tcPr>
            <w:tcW w:w="886"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4613"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新内容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139页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由于</w:t>
            </w:r>
            <w:r>
              <w:rPr>
                <w:color w:val="7B0C00"/>
                <w:sz w:val="22"/>
                <w:szCs w:val="22"/>
                <w:bdr w:val="none" w:color="auto" w:sz="0" w:space="0"/>
              </w:rPr>
              <w:t>增加他汀类药的代谢，他汀的血药浓度升高</w:t>
            </w:r>
            <w:r>
              <w:rPr>
                <w:color w:val="006699"/>
                <w:sz w:val="22"/>
                <w:szCs w:val="22"/>
                <w:bdr w:val="none" w:color="auto" w:sz="0" w:space="0"/>
              </w:rPr>
              <w:t>，</w:t>
            </w:r>
            <w:r>
              <w:rPr>
                <w:sz w:val="22"/>
                <w:szCs w:val="22"/>
                <w:bdr w:val="none" w:color="auto" w:sz="0" w:space="0"/>
              </w:rPr>
              <w:t>发生肌毒性的风险增加。</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139页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由于</w:t>
            </w:r>
            <w:r>
              <w:rPr>
                <w:color w:val="7B0C00"/>
                <w:sz w:val="22"/>
                <w:szCs w:val="22"/>
                <w:bdr w:val="none" w:color="auto" w:sz="0" w:space="0"/>
              </w:rPr>
              <w:t>抑制他汀类类药的代谢，使他汀的血药浓度升高</w:t>
            </w:r>
            <w:r>
              <w:rPr>
                <w:sz w:val="22"/>
                <w:szCs w:val="22"/>
                <w:bdr w:val="none" w:color="auto" w:sz="0" w:space="0"/>
              </w:rPr>
              <w:t>，发生肌毒性的风险增加。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184页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（3）对有</w:t>
            </w:r>
            <w:r>
              <w:rPr>
                <w:color w:val="7B0C00"/>
                <w:sz w:val="22"/>
                <w:szCs w:val="22"/>
                <w:bdr w:val="none" w:color="auto" w:sz="0" w:space="0"/>
              </w:rPr>
              <w:t>横纹肌炎</w:t>
            </w:r>
            <w:r>
              <w:rPr>
                <w:sz w:val="22"/>
                <w:szCs w:val="22"/>
                <w:bdr w:val="none" w:color="auto" w:sz="0" w:space="0"/>
              </w:rPr>
              <w:t>继发肾衰竭危险因素者</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184页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（3）对有</w:t>
            </w:r>
            <w:r>
              <w:rPr>
                <w:color w:val="7B0C00"/>
                <w:sz w:val="22"/>
                <w:szCs w:val="22"/>
                <w:bdr w:val="none" w:color="auto" w:sz="0" w:space="0"/>
              </w:rPr>
              <w:t>横纹肌溶解症</w:t>
            </w:r>
            <w:r>
              <w:rPr>
                <w:sz w:val="22"/>
                <w:szCs w:val="22"/>
                <w:bdr w:val="none" w:color="auto" w:sz="0" w:space="0"/>
              </w:rPr>
              <w:t>继发肾衰竭危险因素者</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color w:val="3E3E3E"/>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4" w:lineRule="atLeast"/>
        <w:ind w:left="0" w:right="0"/>
        <w:jc w:val="center"/>
        <w:rPr>
          <w:color w:val="3E3E3E"/>
          <w:sz w:val="24"/>
          <w:szCs w:val="24"/>
        </w:rPr>
      </w:pPr>
      <w:r>
        <w:rPr>
          <w:rStyle w:val="10"/>
          <w:color w:val="3E3E3E"/>
          <w:sz w:val="22"/>
          <w:szCs w:val="22"/>
          <w:bdr w:val="none" w:color="auto" w:sz="0" w:space="0"/>
          <w:shd w:val="clear" w:fill="FFFFFF"/>
        </w:rPr>
        <w:t>第六章 血液系统疾病用药</w:t>
      </w:r>
    </w:p>
    <w:tbl>
      <w:tblPr>
        <w:tblW w:w="100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19"/>
        <w:gridCol w:w="3629"/>
        <w:gridCol w:w="886"/>
        <w:gridCol w:w="4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548" w:type="dxa"/>
            <w:gridSpan w:val="2"/>
            <w:tcBorders>
              <w:top w:val="single" w:color="auto" w:sz="6" w:space="0"/>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2017版教材</w:t>
            </w:r>
          </w:p>
        </w:tc>
        <w:tc>
          <w:tcPr>
            <w:tcW w:w="5499" w:type="dxa"/>
            <w:gridSpan w:val="2"/>
            <w:tcBorders>
              <w:top w:val="single" w:color="auto" w:sz="6" w:space="0"/>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2018版教材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3629"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旧内容</w:t>
            </w:r>
          </w:p>
        </w:tc>
        <w:tc>
          <w:tcPr>
            <w:tcW w:w="886"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4613"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新内容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184页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临床上用于肾功能不全所致的肾性贫血</w:t>
            </w:r>
            <w:r>
              <w:rPr>
                <w:color w:val="7B0C00"/>
                <w:sz w:val="22"/>
                <w:szCs w:val="22"/>
                <w:bdr w:val="none" w:color="auto" w:sz="0" w:space="0"/>
              </w:rPr>
              <w:t>（包括血液透析及非透析、腹膜透析）</w:t>
            </w:r>
            <w:r>
              <w:rPr>
                <w:sz w:val="22"/>
                <w:szCs w:val="22"/>
                <w:bdr w:val="none" w:color="auto" w:sz="0" w:space="0"/>
              </w:rPr>
              <w:t>、恶性肿瘤化疗所致贫血，外科围手术期的红细胞动员、早产儿贫血等。</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184页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临床上用于肾功能不全所致的肾性贫血</w:t>
            </w:r>
            <w:r>
              <w:rPr>
                <w:color w:val="7B0C00"/>
                <w:sz w:val="22"/>
                <w:szCs w:val="22"/>
                <w:bdr w:val="none" w:color="auto" w:sz="0" w:space="0"/>
              </w:rPr>
              <w:t>（包括慢性肾功能衰竭行血液透析、腹膜透析及非透析病人）</w:t>
            </w:r>
            <w:r>
              <w:rPr>
                <w:sz w:val="22"/>
                <w:szCs w:val="22"/>
                <w:bdr w:val="none" w:color="auto" w:sz="0" w:space="0"/>
              </w:rPr>
              <w:t>、恶性肿瘤化疗所致贫血，外科围手术期的红细胞动员、早产儿贫血等。</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color w:val="3E3E3E"/>
          <w:sz w:val="24"/>
          <w:szCs w:val="24"/>
        </w:rPr>
      </w:pPr>
      <w:r>
        <w:rPr>
          <w:color w:val="3E3E3E"/>
          <w:sz w:val="24"/>
          <w:szCs w:val="24"/>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4" w:lineRule="atLeast"/>
        <w:ind w:left="0" w:right="0"/>
        <w:jc w:val="center"/>
        <w:rPr>
          <w:color w:val="3E3E3E"/>
          <w:sz w:val="24"/>
          <w:szCs w:val="24"/>
        </w:rPr>
      </w:pPr>
      <w:r>
        <w:rPr>
          <w:rStyle w:val="10"/>
          <w:color w:val="3E3E3E"/>
          <w:sz w:val="22"/>
          <w:szCs w:val="22"/>
          <w:bdr w:val="none" w:color="auto" w:sz="0" w:space="0"/>
          <w:shd w:val="clear" w:fill="FFFFFF"/>
        </w:rPr>
        <w:t>第九章 调节水、电解质、酸碱平衡药与营养药</w:t>
      </w:r>
    </w:p>
    <w:tbl>
      <w:tblPr>
        <w:tblW w:w="100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19"/>
        <w:gridCol w:w="3629"/>
        <w:gridCol w:w="886"/>
        <w:gridCol w:w="4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548" w:type="dxa"/>
            <w:gridSpan w:val="2"/>
            <w:tcBorders>
              <w:top w:val="single" w:color="auto" w:sz="6" w:space="0"/>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2017版教材</w:t>
            </w:r>
          </w:p>
        </w:tc>
        <w:tc>
          <w:tcPr>
            <w:tcW w:w="5499" w:type="dxa"/>
            <w:gridSpan w:val="2"/>
            <w:tcBorders>
              <w:top w:val="single" w:color="auto" w:sz="6" w:space="0"/>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2018版教材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3629"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旧内容</w:t>
            </w:r>
          </w:p>
        </w:tc>
        <w:tc>
          <w:tcPr>
            <w:tcW w:w="886"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4613"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新内容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268页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7B0C00"/>
                <w:sz w:val="22"/>
                <w:szCs w:val="22"/>
                <w:bdr w:val="none" w:color="auto" w:sz="0" w:space="0"/>
              </w:rPr>
              <w:t>营养是维持人体生命、生长、健康所需摄入的营养元素二。</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268页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7B0C00"/>
                <w:sz w:val="22"/>
                <w:szCs w:val="22"/>
                <w:bdr w:val="none" w:color="auto" w:sz="0" w:space="0"/>
              </w:rPr>
              <w:t>营养素是维持人营养需求的基础。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272页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4.下列情况禁用氯化钙：高钙血及高尿钙症者、</w:t>
            </w:r>
            <w:r>
              <w:rPr>
                <w:color w:val="7B0C00"/>
                <w:sz w:val="22"/>
                <w:szCs w:val="22"/>
                <w:bdr w:val="none" w:color="auto" w:sz="0" w:space="0"/>
              </w:rPr>
              <w:t>含有钙结石或肾结石患者、结节性患者（可加重高钙血症）；肾功能不全的低钙血症患者及呼吸性酸中药衰竭者禁用。</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272页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4.下列情况禁用氯化钙：高钙血及高尿钙症者、</w:t>
            </w:r>
            <w:r>
              <w:rPr>
                <w:color w:val="7B0C00"/>
                <w:sz w:val="22"/>
                <w:szCs w:val="22"/>
                <w:bdr w:val="none" w:color="auto" w:sz="0" w:space="0"/>
              </w:rPr>
              <w:t>含有钙肾结石或肾结石病史者、肉类瘤病、肾功能不全的低钙血症患者禁用。洋地黄中毒时禁止静脉应用钙剂。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276页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由于乳酸纳进入体内可在有氧条件下经旰脏氧化、代谢，转化为</w:t>
            </w:r>
            <w:r>
              <w:rPr>
                <w:color w:val="7B0C00"/>
                <w:sz w:val="22"/>
                <w:szCs w:val="22"/>
                <w:bdr w:val="none" w:color="auto" w:sz="0" w:space="0"/>
              </w:rPr>
              <w:t>碳酸氢根</w:t>
            </w:r>
            <w:r>
              <w:rPr>
                <w:sz w:val="22"/>
                <w:szCs w:val="22"/>
                <w:bdr w:val="none" w:color="auto" w:sz="0" w:space="0"/>
              </w:rPr>
              <w:t>，1.87%乳酸纳注射液每3ml可提高</w:t>
            </w:r>
            <w:r>
              <w:rPr>
                <w:color w:val="7B0C00"/>
                <w:sz w:val="22"/>
                <w:szCs w:val="22"/>
                <w:bdr w:val="none" w:color="auto" w:sz="0" w:space="0"/>
              </w:rPr>
              <w:t>碳酸氢根</w:t>
            </w:r>
            <w:r>
              <w:rPr>
                <w:sz w:val="22"/>
                <w:szCs w:val="22"/>
                <w:bdr w:val="none" w:color="auto" w:sz="0" w:space="0"/>
              </w:rPr>
              <w:t>1mmol/L，与碳酸作用生成乳酸和……</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276页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由于乳酸纳进入体内可在有氧条件下经旰脏氧化、代谢，转化为</w:t>
            </w:r>
            <w:r>
              <w:rPr>
                <w:color w:val="7B0C00"/>
                <w:sz w:val="22"/>
                <w:szCs w:val="22"/>
                <w:bdr w:val="none" w:color="auto" w:sz="0" w:space="0"/>
              </w:rPr>
              <w:t>HCO</w:t>
            </w:r>
            <w:r>
              <w:rPr>
                <w:color w:val="7B0C00"/>
                <w:sz w:val="22"/>
                <w:szCs w:val="22"/>
                <w:bdr w:val="none" w:color="auto" w:sz="0" w:space="0"/>
                <w:vertAlign w:val="subscript"/>
              </w:rPr>
              <w:t>3</w:t>
            </w:r>
            <w:r>
              <w:rPr>
                <w:color w:val="7B0C00"/>
                <w:sz w:val="22"/>
                <w:szCs w:val="22"/>
                <w:bdr w:val="none" w:color="auto" w:sz="0" w:space="0"/>
                <w:vertAlign w:val="superscript"/>
              </w:rPr>
              <w:t>-</w:t>
            </w:r>
            <w:r>
              <w:rPr>
                <w:sz w:val="22"/>
                <w:szCs w:val="22"/>
                <w:bdr w:val="none" w:color="auto" w:sz="0" w:space="0"/>
              </w:rPr>
              <w:t>，1.87%乳酸纳注射液每3ml可提高</w:t>
            </w:r>
            <w:r>
              <w:rPr>
                <w:color w:val="7B0C00"/>
                <w:sz w:val="22"/>
                <w:szCs w:val="22"/>
                <w:bdr w:val="none" w:color="auto" w:sz="0" w:space="0"/>
              </w:rPr>
              <w:t>HCO</w:t>
            </w:r>
            <w:r>
              <w:rPr>
                <w:color w:val="7B0C00"/>
                <w:sz w:val="22"/>
                <w:szCs w:val="22"/>
                <w:bdr w:val="none" w:color="auto" w:sz="0" w:space="0"/>
                <w:vertAlign w:val="subscript"/>
              </w:rPr>
              <w:t>3</w:t>
            </w:r>
            <w:r>
              <w:rPr>
                <w:color w:val="7B0C00"/>
                <w:sz w:val="22"/>
                <w:szCs w:val="22"/>
                <w:bdr w:val="none" w:color="auto" w:sz="0" w:space="0"/>
                <w:vertAlign w:val="superscript"/>
              </w:rPr>
              <w:t>-</w:t>
            </w:r>
            <w:r>
              <w:rPr>
                <w:sz w:val="22"/>
                <w:szCs w:val="22"/>
                <w:bdr w:val="none" w:color="auto" w:sz="0" w:space="0"/>
              </w:rPr>
              <w:t>1mmol/L，与碳酸作用生成乳酸和……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285页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维生素K</w:t>
            </w:r>
            <w:r>
              <w:rPr>
                <w:sz w:val="22"/>
                <w:szCs w:val="22"/>
                <w:bdr w:val="none" w:color="auto" w:sz="0" w:space="0"/>
                <w:vertAlign w:val="subscript"/>
              </w:rPr>
              <w:t>2</w:t>
            </w:r>
            <w:r>
              <w:rPr>
                <w:sz w:val="22"/>
                <w:szCs w:val="22"/>
                <w:bdr w:val="none" w:color="auto" w:sz="0" w:space="0"/>
              </w:rPr>
              <w:t>尚具有镇痛作用，镇痛作用机制可能与阿片受体和内源性阿片样物质介导有关。</w:t>
            </w:r>
            <w:r>
              <w:rPr>
                <w:color w:val="7B0C00"/>
                <w:sz w:val="22"/>
                <w:szCs w:val="22"/>
                <w:bdr w:val="none" w:color="auto" w:sz="0" w:space="0"/>
              </w:rPr>
              <w:t>维生素</w:t>
            </w:r>
            <w:r>
              <w:rPr>
                <w:sz w:val="22"/>
                <w:szCs w:val="22"/>
                <w:bdr w:val="none" w:color="auto" w:sz="0" w:space="0"/>
              </w:rPr>
              <w:t>广泛存在于果蔬……</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285页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维生素K</w:t>
            </w:r>
            <w:r>
              <w:rPr>
                <w:sz w:val="22"/>
                <w:szCs w:val="22"/>
                <w:bdr w:val="none" w:color="auto" w:sz="0" w:space="0"/>
                <w:vertAlign w:val="subscript"/>
              </w:rPr>
              <w:t>2</w:t>
            </w:r>
            <w:r>
              <w:rPr>
                <w:sz w:val="22"/>
                <w:szCs w:val="22"/>
                <w:bdr w:val="none" w:color="auto" w:sz="0" w:space="0"/>
              </w:rPr>
              <w:t>尚具有镇痛作用，镇痛作用机制可能与阿片受体和内源性阿片样物质介导有关。</w:t>
            </w:r>
            <w:r>
              <w:rPr>
                <w:color w:val="7B0C00"/>
                <w:sz w:val="22"/>
                <w:szCs w:val="22"/>
                <w:bdr w:val="none" w:color="auto" w:sz="0" w:space="0"/>
              </w:rPr>
              <w:t>维生素K</w:t>
            </w:r>
            <w:r>
              <w:rPr>
                <w:sz w:val="22"/>
                <w:szCs w:val="22"/>
                <w:bdr w:val="none" w:color="auto" w:sz="0" w:space="0"/>
              </w:rPr>
              <w:t>广泛存在于果蔬……</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color w:val="3E3E3E"/>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4" w:lineRule="atLeast"/>
        <w:ind w:left="0" w:right="0"/>
        <w:jc w:val="center"/>
        <w:rPr>
          <w:color w:val="3E3E3E"/>
          <w:sz w:val="24"/>
          <w:szCs w:val="24"/>
        </w:rPr>
      </w:pPr>
      <w:r>
        <w:rPr>
          <w:rStyle w:val="10"/>
          <w:color w:val="3E3E3E"/>
          <w:sz w:val="22"/>
          <w:szCs w:val="22"/>
          <w:bdr w:val="none" w:color="auto" w:sz="0" w:space="0"/>
          <w:shd w:val="clear" w:fill="FFFFFF"/>
        </w:rPr>
        <w:t>第十章 抗菌药物</w:t>
      </w:r>
    </w:p>
    <w:tbl>
      <w:tblPr>
        <w:tblW w:w="100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19"/>
        <w:gridCol w:w="3629"/>
        <w:gridCol w:w="886"/>
        <w:gridCol w:w="4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548" w:type="dxa"/>
            <w:gridSpan w:val="2"/>
            <w:tcBorders>
              <w:top w:val="single" w:color="auto" w:sz="6" w:space="0"/>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2017版教材</w:t>
            </w:r>
          </w:p>
        </w:tc>
        <w:tc>
          <w:tcPr>
            <w:tcW w:w="5499" w:type="dxa"/>
            <w:gridSpan w:val="2"/>
            <w:tcBorders>
              <w:top w:val="single" w:color="auto" w:sz="6" w:space="0"/>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2018版教材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3629"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旧内容</w:t>
            </w:r>
          </w:p>
        </w:tc>
        <w:tc>
          <w:tcPr>
            <w:tcW w:w="886"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4613"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新内容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305页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（7）对</w:t>
            </w:r>
            <w:r>
              <w:rPr>
                <w:color w:val="C00000"/>
                <w:sz w:val="22"/>
                <w:szCs w:val="22"/>
                <w:bdr w:val="none" w:color="auto" w:sz="0" w:space="0"/>
              </w:rPr>
              <w:t>β内酰胺类抗菌</w:t>
            </w:r>
            <w:r>
              <w:rPr>
                <w:sz w:val="22"/>
                <w:szCs w:val="22"/>
                <w:bdr w:val="none" w:color="auto" w:sz="0" w:space="0"/>
              </w:rPr>
              <w:t>；药物过敏者……</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部分头孢素可在肝脏微粒体中，与维生素K竞争性结合</w:t>
            </w:r>
            <w:r>
              <w:rPr>
                <w:color w:val="C00000"/>
                <w:sz w:val="22"/>
                <w:szCs w:val="22"/>
                <w:bdr w:val="none" w:color="auto" w:sz="0" w:space="0"/>
              </w:rPr>
              <w:t>谷氨酸-γ羟化酶</w:t>
            </w:r>
            <w:r>
              <w:rPr>
                <w:sz w:val="22"/>
                <w:szCs w:val="22"/>
                <w:bdr w:val="none" w:color="auto" w:sz="0" w:space="0"/>
              </w:rPr>
              <w:t>，抑制肠道正常菌群，减少维生素K的合成，导致维生素K依赖性凝血因子合成障碍，减弱凝血功能。</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305页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（7）对</w:t>
            </w:r>
            <w:r>
              <w:rPr>
                <w:color w:val="C00000"/>
                <w:sz w:val="22"/>
                <w:szCs w:val="22"/>
                <w:bdr w:val="none" w:color="auto" w:sz="0" w:space="0"/>
              </w:rPr>
              <w:t>β-内酰胺类抗菌</w:t>
            </w:r>
            <w:r>
              <w:rPr>
                <w:sz w:val="22"/>
                <w:szCs w:val="22"/>
                <w:bdr w:val="none" w:color="auto" w:sz="0" w:space="0"/>
              </w:rPr>
              <w:t>；药物过敏者……</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部分头孢素可在肝脏微粒体中，与维生素K竞争性结合</w:t>
            </w:r>
            <w:r>
              <w:rPr>
                <w:color w:val="C00000"/>
                <w:sz w:val="22"/>
                <w:szCs w:val="22"/>
                <w:bdr w:val="none" w:color="auto" w:sz="0" w:space="0"/>
              </w:rPr>
              <w:t>γ-羟化酶</w:t>
            </w:r>
            <w:r>
              <w:rPr>
                <w:sz w:val="22"/>
                <w:szCs w:val="22"/>
                <w:bdr w:val="none" w:color="auto" w:sz="0" w:space="0"/>
              </w:rPr>
              <w:t>，抑制肠道正常菌群，减少维生素K的合成，导致维生素K依赖性凝血因子合成障碍，减弱凝血功能。</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color w:val="3E3E3E"/>
          <w:sz w:val="24"/>
          <w:szCs w:val="24"/>
        </w:rPr>
      </w:pPr>
      <w:r>
        <w:rPr>
          <w:color w:val="3E3E3E"/>
          <w:sz w:val="24"/>
          <w:szCs w:val="24"/>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4" w:lineRule="atLeast"/>
        <w:ind w:left="0" w:right="0"/>
        <w:jc w:val="center"/>
        <w:rPr>
          <w:color w:val="3E3E3E"/>
          <w:sz w:val="24"/>
          <w:szCs w:val="24"/>
        </w:rPr>
      </w:pPr>
      <w:r>
        <w:rPr>
          <w:rStyle w:val="10"/>
          <w:color w:val="3E3E3E"/>
          <w:sz w:val="22"/>
          <w:szCs w:val="22"/>
          <w:bdr w:val="none" w:color="auto" w:sz="0" w:space="0"/>
          <w:shd w:val="clear" w:fill="FFFFFF"/>
        </w:rPr>
        <w:t>第十三章 抗肿瘤药</w:t>
      </w:r>
    </w:p>
    <w:tbl>
      <w:tblPr>
        <w:tblW w:w="100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19"/>
        <w:gridCol w:w="3629"/>
        <w:gridCol w:w="886"/>
        <w:gridCol w:w="4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548" w:type="dxa"/>
            <w:gridSpan w:val="2"/>
            <w:tcBorders>
              <w:top w:val="single" w:color="auto" w:sz="6" w:space="0"/>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2017版教材</w:t>
            </w:r>
          </w:p>
        </w:tc>
        <w:tc>
          <w:tcPr>
            <w:tcW w:w="5499" w:type="dxa"/>
            <w:gridSpan w:val="2"/>
            <w:tcBorders>
              <w:top w:val="single" w:color="auto" w:sz="6" w:space="0"/>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2018版教材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3629"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旧内容</w:t>
            </w:r>
          </w:p>
        </w:tc>
        <w:tc>
          <w:tcPr>
            <w:tcW w:w="886"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4613"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新内容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408页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顺铂：【适应证】用于非精原细胞性生殖细胞癌，晚期顽固性卵巢癌，晚期顽固性膀胱癌，顽固性头颈鳞状细胞癌姑息治疗。</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408页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顺铂：【适应症】</w:t>
            </w:r>
            <w:r>
              <w:rPr>
                <w:color w:val="7B0C00"/>
                <w:sz w:val="22"/>
                <w:szCs w:val="22"/>
                <w:bdr w:val="none" w:color="auto" w:sz="0" w:space="0"/>
              </w:rPr>
              <w:t>用于小细胞与非小细胞癌、睾丸癌、宫颈癌、卵巢癌、子宫内膜癌、前列腺癌、膀胱癌、黑色素瘤、肉瘤、头颈部肿瘤及各种鳞状上皮癌和恶性肿瘤。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409页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卡铂：【适应症】用于晚期上皮来源的卵巢癌的第一线治疗和其他治疗失败后的第二线治疗，小细胞肺癌和头颈区鳞癌。</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409页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卡铂：【适应症】</w:t>
            </w:r>
            <w:r>
              <w:rPr>
                <w:color w:val="7B0C00"/>
                <w:sz w:val="22"/>
                <w:szCs w:val="22"/>
                <w:bdr w:val="none" w:color="auto" w:sz="0" w:space="0"/>
              </w:rPr>
              <w:t>用于卵巢癌、小细胞癌、非小细胞肺癌、头颈部鳞癌、食管癌、精原细胞瘤、膀胱癌、间皮瘤等。</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color w:val="3E3E3E"/>
          <w:sz w:val="24"/>
          <w:szCs w:val="24"/>
        </w:rPr>
      </w:pPr>
      <w:r>
        <w:rPr>
          <w:color w:val="3E3E3E"/>
          <w:sz w:val="24"/>
          <w:szCs w:val="24"/>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color w:val="3E3E3E"/>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24"/>
          <w:szCs w:val="24"/>
          <w:lang w:val="en-US" w:eastAsia="zh-CN" w:bidi="ar"/>
        </w:rPr>
        <w:t>药学综合知识与技能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color w:val="3E3E3E"/>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4" w:lineRule="atLeast"/>
        <w:ind w:left="0" w:right="0"/>
        <w:jc w:val="center"/>
        <w:rPr>
          <w:color w:val="3E3E3E"/>
          <w:sz w:val="24"/>
          <w:szCs w:val="24"/>
        </w:rPr>
      </w:pPr>
      <w:r>
        <w:rPr>
          <w:rStyle w:val="10"/>
          <w:color w:val="3E3E3E"/>
          <w:sz w:val="22"/>
          <w:szCs w:val="22"/>
          <w:bdr w:val="none" w:color="auto" w:sz="0" w:space="0"/>
          <w:shd w:val="clear" w:fill="FFFFFF"/>
        </w:rPr>
        <w:t>第一章 药执业药师与药学服务</w:t>
      </w:r>
    </w:p>
    <w:tbl>
      <w:tblPr>
        <w:tblW w:w="100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19"/>
        <w:gridCol w:w="3629"/>
        <w:gridCol w:w="886"/>
        <w:gridCol w:w="4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548" w:type="dxa"/>
            <w:gridSpan w:val="2"/>
            <w:tcBorders>
              <w:top w:val="single" w:color="auto" w:sz="6" w:space="0"/>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2017版教材</w:t>
            </w:r>
          </w:p>
        </w:tc>
        <w:tc>
          <w:tcPr>
            <w:tcW w:w="5499" w:type="dxa"/>
            <w:gridSpan w:val="2"/>
            <w:tcBorders>
              <w:top w:val="single" w:color="auto" w:sz="6" w:space="0"/>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2018版教材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3629"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旧内容</w:t>
            </w:r>
          </w:p>
        </w:tc>
        <w:tc>
          <w:tcPr>
            <w:tcW w:w="886"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4613"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新内容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7页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静脉药物配置（pharmacy   intrayenousadmixtureserices，PIVAS）</w:t>
            </w:r>
            <w:r>
              <w:rPr>
                <w:color w:val="7B0C00"/>
                <w:sz w:val="22"/>
                <w:szCs w:val="22"/>
                <w:bdr w:val="none" w:color="auto" w:sz="0" w:space="0"/>
              </w:rPr>
              <w:t>将原来分散在病区治疗室开放环境下进行配置的肠外营养、细胞毒性药和抗生素等静脉用药，集中由药学专业技术人员在万级洁净、密闭环境下，局部百级净化的操作台上进行配置。</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7页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静脉药物配置（pharmacy   intrayenousadmixtureserices，PIVAS）</w:t>
            </w:r>
            <w:r>
              <w:rPr>
                <w:color w:val="7B0C00"/>
                <w:sz w:val="22"/>
                <w:szCs w:val="22"/>
                <w:bdr w:val="none" w:color="auto" w:sz="0" w:space="0"/>
              </w:rPr>
              <w:t>是指在符合国际标题并依据药物特性设计的操作环境下，经过药师审核的处方由受过专门培训的药技人员严格按照标准操作程序进行全静脉营养、细胞毒性药物和抗生素等静脉用药的配置，为临床提供优质的药品和药学服务。</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color w:val="3E3E3E"/>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4" w:lineRule="atLeast"/>
        <w:ind w:left="0" w:right="0"/>
        <w:jc w:val="center"/>
        <w:rPr>
          <w:color w:val="3E3E3E"/>
          <w:sz w:val="24"/>
          <w:szCs w:val="24"/>
        </w:rPr>
      </w:pPr>
      <w:r>
        <w:rPr>
          <w:rStyle w:val="10"/>
          <w:color w:val="3E3E3E"/>
          <w:sz w:val="22"/>
          <w:szCs w:val="22"/>
          <w:bdr w:val="none" w:color="auto" w:sz="0" w:space="0"/>
          <w:shd w:val="clear" w:fill="FFFFFF"/>
        </w:rPr>
        <w:t>第二章 药品的调剂和药品管理</w:t>
      </w:r>
    </w:p>
    <w:tbl>
      <w:tblPr>
        <w:tblW w:w="100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19"/>
        <w:gridCol w:w="3629"/>
        <w:gridCol w:w="886"/>
        <w:gridCol w:w="4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548" w:type="dxa"/>
            <w:gridSpan w:val="2"/>
            <w:tcBorders>
              <w:top w:val="single" w:color="auto" w:sz="6" w:space="0"/>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2017版教材</w:t>
            </w:r>
          </w:p>
        </w:tc>
        <w:tc>
          <w:tcPr>
            <w:tcW w:w="5499" w:type="dxa"/>
            <w:gridSpan w:val="2"/>
            <w:tcBorders>
              <w:top w:val="single" w:color="auto" w:sz="6" w:space="0"/>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2018版教材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3629"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旧内容</w:t>
            </w:r>
          </w:p>
        </w:tc>
        <w:tc>
          <w:tcPr>
            <w:tcW w:w="886"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4613"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新内容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20页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表2-4 常用含有化学药成分的中成药药品种表</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20页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表2-4 常用含有化学药成分的中成药药品种表</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7B0C00"/>
                <w:sz w:val="22"/>
                <w:szCs w:val="22"/>
                <w:bdr w:val="none" w:color="auto" w:sz="0" w:space="0"/>
              </w:rPr>
              <w:t>表中药物顺序有所调整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31页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表2-8中复方新诺明</w:t>
            </w:r>
            <w:r>
              <w:rPr>
                <w:color w:val="7B0C00"/>
                <w:sz w:val="22"/>
                <w:szCs w:val="22"/>
                <w:bdr w:val="none" w:color="auto" w:sz="0" w:space="0"/>
              </w:rPr>
              <w:t>（SMZ-CO）</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31页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表2-8中复方新诺明</w:t>
            </w:r>
            <w:r>
              <w:rPr>
                <w:color w:val="7B0C00"/>
                <w:sz w:val="22"/>
                <w:szCs w:val="22"/>
                <w:bdr w:val="none" w:color="auto" w:sz="0" w:space="0"/>
              </w:rPr>
              <w:t>（SMZ-TMP）</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color w:val="3E3E3E"/>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4" w:lineRule="atLeast"/>
        <w:ind w:left="0" w:right="0"/>
        <w:jc w:val="center"/>
        <w:rPr>
          <w:color w:val="3E3E3E"/>
          <w:sz w:val="24"/>
          <w:szCs w:val="24"/>
        </w:rPr>
      </w:pPr>
      <w:r>
        <w:rPr>
          <w:rStyle w:val="10"/>
          <w:color w:val="3E3E3E"/>
          <w:sz w:val="22"/>
          <w:szCs w:val="22"/>
          <w:bdr w:val="none" w:color="auto" w:sz="0" w:space="0"/>
          <w:shd w:val="clear" w:fill="FFFFFF"/>
        </w:rPr>
        <w:t>第三章 用药教育与咨询</w:t>
      </w:r>
    </w:p>
    <w:tbl>
      <w:tblPr>
        <w:tblW w:w="100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19"/>
        <w:gridCol w:w="3629"/>
        <w:gridCol w:w="886"/>
        <w:gridCol w:w="4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548" w:type="dxa"/>
            <w:gridSpan w:val="2"/>
            <w:tcBorders>
              <w:top w:val="single" w:color="auto" w:sz="6" w:space="0"/>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2017版教材</w:t>
            </w:r>
          </w:p>
        </w:tc>
        <w:tc>
          <w:tcPr>
            <w:tcW w:w="5499" w:type="dxa"/>
            <w:gridSpan w:val="2"/>
            <w:tcBorders>
              <w:top w:val="single" w:color="auto" w:sz="6" w:space="0"/>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2018版教材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3629"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旧内容</w:t>
            </w:r>
          </w:p>
        </w:tc>
        <w:tc>
          <w:tcPr>
            <w:tcW w:w="886"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4613"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新内容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74页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⑦乙醇的肝药酶抑制作用会使利福平的代谢减慢，血药浓度增加，加速患者出现肝损害。</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74页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⑦</w:t>
            </w:r>
            <w:r>
              <w:rPr>
                <w:color w:val="7B0C00"/>
                <w:sz w:val="22"/>
                <w:szCs w:val="22"/>
                <w:bdr w:val="none" w:color="auto" w:sz="0" w:space="0"/>
              </w:rPr>
              <w:t>在长期饮酒者，乙醇对肝药酶有诱导作用；在临时突然大量饮酒者，乙醇对肝药酶有抑制作用。因而长期或大量饮酒对于某些经肝脏转化代谢药物的血浆浓度会产生影响。</w:t>
            </w:r>
            <w:r>
              <w:rPr>
                <w:sz w:val="22"/>
                <w:szCs w:val="22"/>
                <w:bdr w:val="none" w:color="auto" w:sz="0" w:space="0"/>
              </w:rPr>
              <w:t>乙醇的肝药酶抑制作用会使利福平的代谢减慢，血药浓度增加，加速患者出现肝损害。</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color w:val="3E3E3E"/>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4" w:lineRule="atLeast"/>
        <w:ind w:left="0" w:right="0"/>
        <w:jc w:val="center"/>
        <w:rPr>
          <w:color w:val="3E3E3E"/>
          <w:sz w:val="24"/>
          <w:szCs w:val="24"/>
        </w:rPr>
      </w:pPr>
      <w:r>
        <w:rPr>
          <w:rStyle w:val="10"/>
          <w:color w:val="3E3E3E"/>
          <w:sz w:val="22"/>
          <w:szCs w:val="22"/>
          <w:bdr w:val="none" w:color="auto" w:sz="0" w:space="0"/>
          <w:shd w:val="clear" w:fill="FFFFFF"/>
        </w:rPr>
        <w:t>第四章 用药安全</w:t>
      </w:r>
    </w:p>
    <w:tbl>
      <w:tblPr>
        <w:tblW w:w="100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19"/>
        <w:gridCol w:w="3629"/>
        <w:gridCol w:w="886"/>
        <w:gridCol w:w="4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548" w:type="dxa"/>
            <w:gridSpan w:val="2"/>
            <w:tcBorders>
              <w:top w:val="single" w:color="auto" w:sz="6" w:space="0"/>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2017版教材</w:t>
            </w:r>
          </w:p>
        </w:tc>
        <w:tc>
          <w:tcPr>
            <w:tcW w:w="5499" w:type="dxa"/>
            <w:gridSpan w:val="2"/>
            <w:tcBorders>
              <w:top w:val="single" w:color="auto" w:sz="6" w:space="0"/>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2018版教材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3629"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旧内容</w:t>
            </w:r>
          </w:p>
        </w:tc>
        <w:tc>
          <w:tcPr>
            <w:tcW w:w="886"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4613"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新内容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85-86页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③所怀疑的ADR是否可用患者的病理状态、并用药、并用疗法的影响来解释。许多ADR是由于原患疾病本身、药物的相互作用,或药物与其他疗法的相互作用所引起。因此应详细了解并用药物及其他疗法,进行综合分析。④停药或减少剂量后,可疑ADR是否减轻或消失。发现可疑ADR,尤其严重的反应,应停药或降低剂量,若不良反应消失或减轻,则有利于因果关系的分析判断。⑤再次接触可疑药物是否再次出现同样反应。ADR的再出现可以肯定因果关系,但再次给药可能会给患者带来风险,应慎用此法。</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85-86页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7B0C00"/>
                <w:sz w:val="22"/>
                <w:szCs w:val="22"/>
                <w:bdr w:val="none" w:color="auto" w:sz="0" w:space="0"/>
              </w:rPr>
              <w:t>③停药或减少剂量后,可疑ADR是否减轻或消失。发现可疑ADR,尤其是严重的反应,应停药或降低剂量,若不良反应消失或减轻,则有利于因果关系的分析判断。④再次接触可疑药物是否再次出现同样反应。ADR的再出现可以肯定因果关系,但再次给药可能会给患者带来风险,应慎用此法。⑤所怀疑的ADR是否可用患者的病理状态、合并用药、并用疗法的影响进行解释。许多ADR是由于原患疾病本身与药物的相互作用,或药物与其他疗法的相互作用所引起。因此应详细了解并用药物及其他疗法,进行综合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114页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tLeast"/>
              <w:ind w:left="0" w:right="0"/>
            </w:pPr>
            <w:r>
              <w:rPr>
                <w:sz w:val="22"/>
                <w:szCs w:val="22"/>
                <w:bdr w:val="none" w:color="auto" w:sz="0" w:space="0"/>
              </w:rPr>
              <w:t>儿童用药的剂量计算方法，③如不知道儿童体重多少时，可按下列公式计算：</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tLeast"/>
              <w:ind w:left="0" w:right="0"/>
            </w:pPr>
            <w:r>
              <w:rPr>
                <w:sz w:val="22"/>
                <w:szCs w:val="22"/>
                <w:bdr w:val="none" w:color="auto" w:sz="0" w:space="0"/>
              </w:rPr>
              <w:t>1～6个月：小儿体重（kg）=月龄×0.6＋3</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tLeast"/>
              <w:ind w:left="0" w:right="0"/>
            </w:pPr>
            <w:r>
              <w:rPr>
                <w:sz w:val="22"/>
                <w:szCs w:val="22"/>
                <w:bdr w:val="none" w:color="auto" w:sz="0" w:space="0"/>
              </w:rPr>
              <w:t>7～12个月：小儿体重（kg）=月龄×0.5＋3</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tLeast"/>
              <w:ind w:left="0" w:right="0"/>
            </w:pPr>
            <w:r>
              <w:rPr>
                <w:sz w:val="22"/>
                <w:szCs w:val="22"/>
                <w:bdr w:val="none" w:color="auto" w:sz="0" w:space="0"/>
              </w:rPr>
              <w:t>1～10岁：小儿体重（kg）=年龄×2＋8</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114页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tLeast"/>
              <w:ind w:left="0" w:right="0"/>
            </w:pPr>
            <w:r>
              <w:rPr>
                <w:sz w:val="22"/>
                <w:szCs w:val="22"/>
                <w:bdr w:val="none" w:color="auto" w:sz="0" w:space="0"/>
              </w:rPr>
              <w:t>儿童用药的剂量计算方法，③如不知道儿童体重多少时，可按下列公式计算：</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color w:val="7B0C00"/>
                <w:sz w:val="22"/>
                <w:szCs w:val="22"/>
                <w:bdr w:val="none" w:color="auto" w:sz="0" w:space="0"/>
              </w:rPr>
              <w:t>1～6个月：小儿体重（kg）=出生时体重（kg）＋月龄×0.7</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color w:val="7B0C00"/>
                <w:sz w:val="22"/>
                <w:szCs w:val="22"/>
                <w:bdr w:val="none" w:color="auto" w:sz="0" w:space="0"/>
              </w:rPr>
              <w:t>7～12个月：小儿体重（kg）=6＋月龄×0.25</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color w:val="7B0C00"/>
                <w:sz w:val="22"/>
                <w:szCs w:val="22"/>
                <w:bdr w:val="none" w:color="auto" w:sz="0" w:space="0"/>
              </w:rPr>
              <w:t>2岁至青春期前：小儿体重（kg）=年龄×2＋8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122页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表4-10血清总胆红素1分的标准</w:t>
            </w:r>
            <w:r>
              <w:rPr>
                <w:color w:val="7B0C00"/>
                <w:sz w:val="22"/>
                <w:szCs w:val="22"/>
                <w:bdr w:val="none" w:color="auto" w:sz="0" w:space="0"/>
              </w:rPr>
              <w:t>＞34.2</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122页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tLeast"/>
              <w:ind w:left="0" w:right="0"/>
            </w:pPr>
            <w:r>
              <w:rPr>
                <w:sz w:val="22"/>
                <w:szCs w:val="22"/>
                <w:bdr w:val="none" w:color="auto" w:sz="0" w:space="0"/>
              </w:rPr>
              <w:t>表4-10血清总胆红素1分的标准</w:t>
            </w:r>
            <w:r>
              <w:rPr>
                <w:color w:val="7B0C00"/>
                <w:sz w:val="22"/>
                <w:szCs w:val="22"/>
                <w:bdr w:val="none" w:color="auto" w:sz="0" w:space="0"/>
              </w:rPr>
              <w:t>＜34.2</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color w:val="3E3E3E"/>
          <w:sz w:val="24"/>
          <w:szCs w:val="24"/>
        </w:rPr>
      </w:pPr>
      <w:r>
        <w:rPr>
          <w:color w:val="3E3E3E"/>
          <w:sz w:val="24"/>
          <w:szCs w:val="24"/>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4" w:lineRule="atLeast"/>
        <w:ind w:left="0" w:right="0"/>
        <w:jc w:val="center"/>
        <w:rPr>
          <w:color w:val="3E3E3E"/>
          <w:sz w:val="24"/>
          <w:szCs w:val="24"/>
        </w:rPr>
      </w:pPr>
      <w:r>
        <w:rPr>
          <w:rStyle w:val="10"/>
          <w:color w:val="3E3E3E"/>
          <w:sz w:val="22"/>
          <w:szCs w:val="22"/>
          <w:bdr w:val="none" w:color="auto" w:sz="0" w:space="0"/>
          <w:shd w:val="clear" w:fill="FFFFFF"/>
        </w:rPr>
        <w:t>第八章 常见病症的自我药疗</w:t>
      </w:r>
    </w:p>
    <w:tbl>
      <w:tblPr>
        <w:tblW w:w="100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19"/>
        <w:gridCol w:w="3629"/>
        <w:gridCol w:w="886"/>
        <w:gridCol w:w="4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548" w:type="dxa"/>
            <w:gridSpan w:val="2"/>
            <w:tcBorders>
              <w:top w:val="single" w:color="auto" w:sz="6" w:space="0"/>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2017版教材</w:t>
            </w:r>
          </w:p>
        </w:tc>
        <w:tc>
          <w:tcPr>
            <w:tcW w:w="5499" w:type="dxa"/>
            <w:gridSpan w:val="2"/>
            <w:tcBorders>
              <w:top w:val="single" w:color="auto" w:sz="6" w:space="0"/>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2018版教材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3629"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旧内容</w:t>
            </w:r>
          </w:p>
        </w:tc>
        <w:tc>
          <w:tcPr>
            <w:tcW w:w="886"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4613"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新内容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203页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(4)妊娠及哺乳期妇女不宜应用抗蠕虫药;大多数抗蠕虫药在肝脏分解而经肾脏排泄,但2岁以下的儿童肝肾脏发育不全,尤其是肝脏内缺乏有关代谢酶,容易损伤</w:t>
            </w:r>
            <w:r>
              <w:rPr>
                <w:color w:val="7B0C00"/>
                <w:sz w:val="22"/>
                <w:szCs w:val="22"/>
                <w:bdr w:val="none" w:color="auto" w:sz="0" w:space="0"/>
              </w:rPr>
              <w:t>肝肾</w:t>
            </w:r>
            <w:r>
              <w:rPr>
                <w:sz w:val="22"/>
                <w:szCs w:val="22"/>
                <w:bdr w:val="none" w:color="auto" w:sz="0" w:space="0"/>
              </w:rPr>
              <w:t>，因此对2岁以下儿童禁用,尤其噻嘧啶对1岁以下儿童禁用,对肝肾功能不全者要慎用。</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203页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(4)妊娠及哺乳期妇女不宜应用抗蠕虫药;大多数抗蠕虫药在肝脏分解而经肾脏排泄,但2岁以下的儿童肝肾脏发育不全,尤其是肝脏内缺之有关代谢酶,容易损伤</w:t>
            </w:r>
            <w:r>
              <w:rPr>
                <w:color w:val="7B0C00"/>
                <w:sz w:val="22"/>
                <w:szCs w:val="22"/>
                <w:bdr w:val="none" w:color="auto" w:sz="0" w:space="0"/>
              </w:rPr>
              <w:t>肝、肾功能</w:t>
            </w:r>
            <w:r>
              <w:rPr>
                <w:sz w:val="22"/>
                <w:szCs w:val="22"/>
                <w:bdr w:val="none" w:color="auto" w:sz="0" w:space="0"/>
              </w:rPr>
              <w:t>,因此对2岁以下儿童禁用,尤其噻嘧啶对1岁以下儿童禁用，对肝肾功能不全者要慎用。</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color w:val="3E3E3E"/>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4" w:lineRule="atLeast"/>
        <w:ind w:left="0" w:right="0"/>
        <w:jc w:val="center"/>
        <w:rPr>
          <w:color w:val="3E3E3E"/>
          <w:sz w:val="24"/>
          <w:szCs w:val="24"/>
        </w:rPr>
      </w:pPr>
      <w:r>
        <w:rPr>
          <w:rStyle w:val="10"/>
          <w:color w:val="3E3E3E"/>
          <w:sz w:val="22"/>
          <w:szCs w:val="22"/>
          <w:bdr w:val="none" w:color="auto" w:sz="0" w:space="0"/>
          <w:shd w:val="clear" w:fill="FFFFFF"/>
        </w:rPr>
        <w:t>第十一章 神经系统常见疾病</w:t>
      </w:r>
    </w:p>
    <w:tbl>
      <w:tblPr>
        <w:tblW w:w="100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19"/>
        <w:gridCol w:w="3629"/>
        <w:gridCol w:w="886"/>
        <w:gridCol w:w="4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548" w:type="dxa"/>
            <w:gridSpan w:val="2"/>
            <w:tcBorders>
              <w:top w:val="single" w:color="auto" w:sz="6" w:space="0"/>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2017版教材</w:t>
            </w:r>
          </w:p>
        </w:tc>
        <w:tc>
          <w:tcPr>
            <w:tcW w:w="5499" w:type="dxa"/>
            <w:gridSpan w:val="2"/>
            <w:tcBorders>
              <w:top w:val="single" w:color="auto" w:sz="6" w:space="0"/>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2018版教材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3629"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旧内容</w:t>
            </w:r>
          </w:p>
        </w:tc>
        <w:tc>
          <w:tcPr>
            <w:tcW w:w="886"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4613"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新内容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291页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5.……</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通过抑制5-HT及去甲上腺素的再摄取，……</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291页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5.……</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通过抑制5-HT及去甲上腺素</w:t>
            </w:r>
            <w:r>
              <w:rPr>
                <w:color w:val="7B0C00"/>
                <w:sz w:val="22"/>
                <w:szCs w:val="22"/>
                <w:bdr w:val="none" w:color="auto" w:sz="0" w:space="0"/>
              </w:rPr>
              <w:t>（NE）</w:t>
            </w:r>
            <w:r>
              <w:rPr>
                <w:sz w:val="22"/>
                <w:szCs w:val="22"/>
                <w:bdr w:val="none" w:color="auto" w:sz="0" w:space="0"/>
              </w:rPr>
              <w:t>的再摄取，</w:t>
            </w:r>
            <w:r>
              <w:rPr>
                <w:color w:val="7B0C00"/>
                <w:sz w:val="22"/>
                <w:szCs w:val="22"/>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296页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6.其他药物</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（2）曲唑酮的作用机制是</w:t>
            </w:r>
            <w:r>
              <w:rPr>
                <w:color w:val="7B0C00"/>
                <w:sz w:val="22"/>
                <w:szCs w:val="22"/>
                <w:bdr w:val="none" w:color="auto" w:sz="0" w:space="0"/>
              </w:rPr>
              <w:t>抑制5-HT和NE的再摄取。</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296页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6.其他药物</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（2）曲唑酮的作用机制是</w:t>
            </w:r>
            <w:r>
              <w:rPr>
                <w:color w:val="7B0C00"/>
                <w:sz w:val="22"/>
                <w:szCs w:val="22"/>
                <w:bdr w:val="none" w:color="auto" w:sz="0" w:space="0"/>
              </w:rPr>
              <w:t>选择性地拮抗5-HT受体及抑制神经递质再摄取，并有微弱的阻止NE再摄取作用。</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rPr>
          <w:color w:val="3E3E3E"/>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84" w:lineRule="atLeast"/>
        <w:ind w:left="0" w:right="0"/>
        <w:jc w:val="center"/>
        <w:rPr>
          <w:color w:val="3E3E3E"/>
          <w:sz w:val="24"/>
          <w:szCs w:val="24"/>
        </w:rPr>
      </w:pPr>
      <w:r>
        <w:rPr>
          <w:rStyle w:val="10"/>
          <w:color w:val="3E3E3E"/>
          <w:sz w:val="22"/>
          <w:szCs w:val="22"/>
          <w:bdr w:val="none" w:color="auto" w:sz="0" w:space="0"/>
          <w:shd w:val="clear" w:fill="FFFFFF"/>
        </w:rPr>
        <w:t>第十三章 内分泌及代谢性疾病</w:t>
      </w:r>
    </w:p>
    <w:tbl>
      <w:tblPr>
        <w:tblW w:w="100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19"/>
        <w:gridCol w:w="3629"/>
        <w:gridCol w:w="886"/>
        <w:gridCol w:w="4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4548" w:type="dxa"/>
            <w:gridSpan w:val="2"/>
            <w:tcBorders>
              <w:top w:val="single" w:color="auto" w:sz="6" w:space="0"/>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2017版教材</w:t>
            </w:r>
          </w:p>
        </w:tc>
        <w:tc>
          <w:tcPr>
            <w:tcW w:w="5499" w:type="dxa"/>
            <w:gridSpan w:val="2"/>
            <w:tcBorders>
              <w:top w:val="single" w:color="auto" w:sz="6" w:space="0"/>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2018版教材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3629"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旧内容</w:t>
            </w:r>
          </w:p>
        </w:tc>
        <w:tc>
          <w:tcPr>
            <w:tcW w:w="886"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页码</w:t>
            </w:r>
          </w:p>
        </w:tc>
        <w:tc>
          <w:tcPr>
            <w:tcW w:w="4613" w:type="dxa"/>
            <w:tcBorders>
              <w:top w:val="nil"/>
              <w:left w:val="nil"/>
              <w:bottom w:val="single" w:color="auto" w:sz="6" w:space="0"/>
              <w:right w:val="single" w:color="auto" w:sz="6" w:space="0"/>
            </w:tcBorders>
            <w:shd w:val="clear" w:color="auto" w:fill="006699"/>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10"/>
                <w:color w:val="FFFFFF"/>
                <w:sz w:val="22"/>
                <w:szCs w:val="22"/>
                <w:bdr w:val="none" w:color="auto" w:sz="0" w:space="0"/>
              </w:rPr>
              <w:t>新内容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9"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321页</w:t>
            </w:r>
          </w:p>
        </w:tc>
        <w:tc>
          <w:tcPr>
            <w:tcW w:w="3629"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表13-2 胰岛素的制剂种类及其特点</w:t>
            </w:r>
          </w:p>
        </w:tc>
        <w:tc>
          <w:tcPr>
            <w:tcW w:w="886"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sz w:val="22"/>
                <w:szCs w:val="22"/>
                <w:bdr w:val="none" w:color="auto" w:sz="0" w:space="0"/>
              </w:rPr>
              <w:t>321页</w:t>
            </w:r>
          </w:p>
        </w:tc>
        <w:tc>
          <w:tcPr>
            <w:tcW w:w="4613" w:type="dxa"/>
            <w:tcBorders>
              <w:top w:val="nil"/>
              <w:left w:val="nil"/>
              <w:bottom w:val="single" w:color="auto" w:sz="6" w:space="0"/>
              <w:right w:val="single" w:color="auto" w:sz="6" w:space="0"/>
            </w:tcBorders>
            <w:shd w:val="clear"/>
            <w:tcMar>
              <w:left w:w="105" w:type="dxa"/>
              <w:right w:w="10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表13-2 胰岛素的制剂种类及其特点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7B0C00"/>
                <w:spacing w:val="0"/>
                <w:sz w:val="22"/>
                <w:szCs w:val="22"/>
                <w:bdr w:val="none" w:color="auto" w:sz="0" w:space="0"/>
                <w:shd w:val="clear" w:fill="FFFFFF"/>
              </w:rPr>
              <w:t>制剂名称、起效时间、作用达峰时间、维持时间、给药方法均有所改动。</w:t>
            </w:r>
          </w:p>
          <w:p>
            <w:pPr>
              <w:keepNext w:val="0"/>
              <w:keepLines w:val="0"/>
              <w:widowControl/>
              <w:suppressLineNumbers w:val="0"/>
              <w:wordWrap w:val="0"/>
              <w:spacing w:before="0" w:beforeAutospacing="0" w:after="0" w:afterAutospacing="0"/>
              <w:ind w:left="0" w:right="0"/>
              <w:jc w:val="left"/>
            </w:pPr>
          </w:p>
        </w:tc>
      </w:tr>
    </w:tbl>
    <w:p>
      <w:pPr>
        <w:pStyle w:val="7"/>
        <w:keepNext w:val="0"/>
        <w:keepLines w:val="0"/>
        <w:widowControl/>
        <w:suppressLineNumbers w:val="0"/>
        <w:spacing w:line="360" w:lineRule="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书体坊安景臣钢笔行书">
    <w:altName w:val="宋体"/>
    <w:panose1 w:val="02010601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Angelic War">
    <w:altName w:val="Vrinda"/>
    <w:panose1 w:val="02000500000000000000"/>
    <w:charset w:val="00"/>
    <w:family w:val="auto"/>
    <w:pitch w:val="default"/>
    <w:sig w:usb0="00000000" w:usb1="00000000" w:usb2="00000000" w:usb3="00000000" w:csb0="20000111" w:csb1="41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30E2367"/>
    <w:rsid w:val="27750FD2"/>
    <w:rsid w:val="279428D1"/>
    <w:rsid w:val="2DFC5FBC"/>
    <w:rsid w:val="33AB1A5E"/>
    <w:rsid w:val="3B8064B4"/>
    <w:rsid w:val="40DE1750"/>
    <w:rsid w:val="41024A57"/>
    <w:rsid w:val="4BBA02F3"/>
    <w:rsid w:val="4DB56E60"/>
    <w:rsid w:val="66D25C14"/>
    <w:rsid w:val="6BA56793"/>
    <w:rsid w:val="73DC2906"/>
    <w:rsid w:val="7CC14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link w:val="13"/>
    <w:qFormat/>
    <w:uiPriority w:val="10"/>
    <w:pPr>
      <w:spacing w:before="240" w:after="60"/>
      <w:jc w:val="center"/>
      <w:outlineLvl w:val="0"/>
    </w:pPr>
    <w:rPr>
      <w:rFonts w:eastAsia="宋体" w:asciiTheme="majorHAnsi" w:hAnsiTheme="majorHAnsi" w:cstheme="majorBidi"/>
      <w:b/>
      <w:bCs/>
      <w:sz w:val="32"/>
      <w:szCs w:val="32"/>
    </w:rPr>
  </w:style>
  <w:style w:type="character" w:styleId="10">
    <w:name w:val="Strong"/>
    <w:basedOn w:val="9"/>
    <w:qFormat/>
    <w:uiPriority w:val="0"/>
    <w:rPr>
      <w:b/>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3">
    <w:name w:val="标题 Char"/>
    <w:basedOn w:val="9"/>
    <w:link w:val="8"/>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青木</cp:lastModifiedBy>
  <dcterms:modified xsi:type="dcterms:W3CDTF">2018-01-05T02:44:07Z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