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360" w:lineRule="auto"/>
        <w:rPr>
          <w:rFonts w:hint="eastAsia"/>
          <w:b/>
          <w:bCs/>
          <w:sz w:val="28"/>
          <w:szCs w:val="28"/>
        </w:rPr>
      </w:pPr>
      <w:r>
        <w:rPr>
          <w:rFonts w:hint="eastAsia"/>
          <w:b/>
          <w:bCs/>
          <w:sz w:val="28"/>
          <w:szCs w:val="28"/>
        </w:rPr>
        <w:t>★考点 １１　出血性疾病</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１.临床表现　有呼吸道感染史，皮肤紫癜最常见。</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根据病变累及的部位及临床表现可分为紫癜型(单纯—最多见)、关节型(关节痛—无畸形)、腹型(腹痛—最常见)、肾型(腰痛、血尿—最严重、死亡的主要因素)、混合型等。</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２.诊断　毛细血管脆性试验可阳性(束臂试验)。 结合血小板计数和凝血试验正常，诊断并不困难。</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３.治疗　抗组胺药物的应用，改善血管通透性及糖皮质激素类药物的应用、免疫抑制剂，及时对症治疗。</w:t>
      </w:r>
    </w:p>
    <w:p>
      <w:pPr>
        <w:pStyle w:val="5"/>
        <w:keepNext w:val="0"/>
        <w:keepLines w:val="0"/>
        <w:widowControl/>
        <w:suppressLineNumbers w:val="0"/>
        <w:spacing w:line="360" w:lineRule="auto"/>
        <w:rPr>
          <w:rFonts w:hint="eastAsia"/>
          <w:b/>
          <w:bCs/>
          <w:sz w:val="28"/>
          <w:szCs w:val="28"/>
        </w:rPr>
      </w:pPr>
      <w:r>
        <w:rPr>
          <w:rFonts w:hint="eastAsia"/>
          <w:b/>
          <w:bCs/>
          <w:sz w:val="28"/>
          <w:szCs w:val="28"/>
        </w:rPr>
        <w:t>★考点 １２　特发性血小板减少性紫癜</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１.临床表现　起病隐匿，可无出血症状而通过血常规检查发现血小板减少；表现为皮肤、黏膜出血(紫癜不对称分布)；鼻出血、牙龈出血、月经过多。</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(１)血小板检查血小板计数减少，血小板平均体积偏大，出血时间延长。 血小板功能一般正常。</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(２)骨髓象骨髓巨核细胞数量正常或增加，伴骨髓巨核细胞成熟障碍，幼稚型增加，有血小板形成的巨核细胞显著减少(&lt;３０％)；红系及粒、单核系正常。</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２.诊断</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(１)至少两次化验血小板计数减少，血细胞形态无异常。</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(２)脾一般不增大。</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(３)骨髓巨核细胞增多或正常，有成熟障碍。</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(４)排除其他继发性血小板减少症。</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３.分型与分期</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(１)新诊断的 ＩＴＰ:指确诊后 ３ 个月内的 ＩＴＰ 患者。</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(２)持续性 ＩＴＰ:是指确诊后 ３~１２ 个月内血小板减少的 ＩＴＰ 患者。</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(３)慢性 ＩＴＰ:指血小板减少持续超过 １２ 个月的 ＩＴＰ 患者。</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(４)重症 ＩＴＰ:指血小板&lt;１０×１０ ９ / Ｌ，且就诊时存在需要治疗的出血症状或常规治疗中发生了新的出血症状，需要用其他升高血小板药物治疗或增加现有治疗的药物剂量。</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(５)难治 ＩＴＰ:满足以下条件:①脾切除后无效或者复发；②仍需要治疗以降低出血的危险；③除外了其他引起血小板减少症的原因，确诊为 ＩＴＰ。</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４.治疗</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(１)血小板低于 ２０×１０ ９ / Ｌ 者，应严格卧床，避免外伤。</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(２)观察:血小板高于 ３０×１０ ９ / Ｌ，无手术、外伤等出血风险，可暂不进行药物治疗。</w:t>
      </w:r>
    </w:p>
    <w:p>
      <w:pPr>
        <w:pStyle w:val="5"/>
        <w:keepNext w:val="0"/>
        <w:keepLines w:val="0"/>
        <w:widowControl/>
        <w:suppressLineNumbers w:val="0"/>
        <w:spacing w:line="360" w:lineRule="auto"/>
        <w:rPr>
          <w:rFonts w:hint="eastAsia"/>
          <w:b/>
          <w:bCs/>
          <w:sz w:val="28"/>
          <w:szCs w:val="28"/>
        </w:rPr>
      </w:pPr>
      <w:r>
        <w:rPr>
          <w:rFonts w:hint="eastAsia"/>
          <w:b/>
          <w:bCs/>
          <w:sz w:val="28"/>
          <w:szCs w:val="28"/>
        </w:rPr>
        <w:t>★考点 １３　弥散性血管内凝血(助理不考)</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１.病因　严重感染是诱发 ＤＩＣ 的主要病因之一。</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２.临床表现</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(１)出血是 ＤＩＣ 最突出的临床表现，颅内出血是致死的主要原因之一。</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(２)顽固性休克是 ＤＩＣ 病情严重、预后不良的主要征兆。</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(３)微血管病性溶血主要是血管内溶血，可发生进行性贫血(贫血的程度和出血量不成正比)。</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３.治疗</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(１)消除诱因治疗原发病为终止 ＤＩＣ 的根本措施。</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(２)常用的抗凝药为肝素。</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(３)替代治疗如新鲜冷冻血浆等血液制品、血小板悬液、纤维蛋白原等。</w:t>
      </w:r>
    </w:p>
    <w:p>
      <w:pPr>
        <w:pStyle w:val="5"/>
        <w:keepNext w:val="0"/>
        <w:keepLines w:val="0"/>
        <w:widowControl/>
        <w:suppressLineNumbers w:val="0"/>
        <w:spacing w:line="360" w:lineRule="auto"/>
        <w:rPr>
          <w:rFonts w:hint="eastAsia"/>
          <w:b/>
          <w:bCs/>
          <w:sz w:val="28"/>
          <w:szCs w:val="28"/>
        </w:rPr>
      </w:pPr>
      <w:r>
        <w:rPr>
          <w:rFonts w:hint="eastAsia"/>
          <w:b/>
          <w:bCs/>
          <w:sz w:val="28"/>
          <w:szCs w:val="28"/>
        </w:rPr>
        <w:t>★考点 １４　输血</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１.常用血液成分　浓缩红细胞(血容量正常的慢性失血)，洗涤红细胞(血浆蛋白含量很少)，去除白细胞的红细胞(移植)。</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２.血小板　适用于再生障碍性贫血和各种血小板低下的病人。</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３.血浆成分　新鲜冷冻血浆，冰冻血浆，冷沉淀。</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４.血浆蛋白成分　白蛋白制剂，免疫球蛋白，浓缩凝血因子。</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５.辐照血液　成分血液经过 γ 射线照射后，其中的淋巴细胞被灭活，而其他血液成分仍保留活性。 淋巴细胞已经丧失活性的血液成分，如冷冻红细胞、ＦＦＰ 与冷沉淀，不必辐照。</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６.输血的目的　增加血液的携氧能力，纠正止血功能异常。</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７.输血适应证</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(１)大量失血是输血的主要适应证。</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(２)重症感染。</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(３)贫血或低蛋白血症。</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(４)凝血异常。</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(５)血液保护。</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血液保护的主要措施:①严格掌握输血适应证；②减少失血微创外科手术(如腔镜手术)能够显著减少出血；③自身输血；④血液保护药物的应用。</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８.安全输血</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(１)输血基本程序　申请输血、供血、核对血、输血、输血后评价。</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(２)输血不良反应</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①发热反应最常见，体温可达 ３９℃ ~４０℃，同时可伴有头痛、恶心等，但一般血压不下降。</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②过敏反应轻度过敏反应发生率约 ３％；严重过敏反应很少见。</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③溶血反应是最严重的输血反应。 迟发性溶血反应(ＤＨＴＲ):指在输血开始后 ７~１４ 天发生的溶血性输血</w:t>
      </w:r>
      <w:bookmarkStart w:id="0" w:name="_GoBack"/>
      <w:bookmarkEnd w:id="0"/>
      <w:r>
        <w:rPr>
          <w:rFonts w:hint="eastAsia"/>
          <w:b w:val="0"/>
          <w:bCs w:val="0"/>
          <w:sz w:val="28"/>
          <w:szCs w:val="28"/>
        </w:rPr>
        <w:t>反应。</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④循环超负荷:常见于心功能低下、老年、幼儿和低蛋白血症的患者。</w:t>
      </w:r>
    </w:p>
    <w:p>
      <w:pPr>
        <w:pStyle w:val="5"/>
        <w:keepNext w:val="0"/>
        <w:keepLines w:val="0"/>
        <w:widowControl/>
        <w:suppressLineNumbers w:val="0"/>
        <w:spacing w:line="360" w:lineRule="auto"/>
        <w:rPr>
          <w:rFonts w:hint="eastAsia"/>
          <w:b w:val="0"/>
          <w:bCs w:val="0"/>
          <w:sz w:val="28"/>
          <w:szCs w:val="28"/>
        </w:rPr>
      </w:pPr>
      <w:r>
        <w:rPr>
          <w:rFonts w:hint="eastAsia"/>
          <w:b w:val="0"/>
          <w:bCs w:val="0"/>
          <w:sz w:val="28"/>
          <w:szCs w:val="28"/>
        </w:rPr>
        <w:t>⑤大量输血后可出现:低体温、碱中毒、暂时性低血钙、高钾血症、凝血异常。</w:t>
      </w:r>
    </w:p>
    <w:p>
      <w:pPr>
        <w:pStyle w:val="5"/>
        <w:keepNext w:val="0"/>
        <w:keepLines w:val="0"/>
        <w:widowControl/>
        <w:suppressLineNumbers w:val="0"/>
        <w:spacing w:line="360" w:lineRule="auto"/>
        <w:rPr>
          <w:rFonts w:hint="eastAsia" w:eastAsiaTheme="minorEastAsia"/>
          <w:b w:val="0"/>
          <w:bCs w:val="0"/>
          <w:sz w:val="28"/>
          <w:szCs w:val="28"/>
          <w:lang w:eastAsia="zh-CN"/>
        </w:rPr>
      </w:pPr>
      <w:r>
        <w:rPr>
          <w:rFonts w:hint="eastAsia"/>
          <w:b w:val="0"/>
          <w:bCs w:val="0"/>
          <w:sz w:val="28"/>
          <w:szCs w:val="28"/>
        </w:rPr>
        <w:t>⑥疾病传播病毒和细菌性疾病可经输血传播，以输血后肝炎和疟疾多见。</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1FB29EA"/>
    <w:rsid w:val="028F51CC"/>
    <w:rsid w:val="03045DFE"/>
    <w:rsid w:val="030E2367"/>
    <w:rsid w:val="034B7C4C"/>
    <w:rsid w:val="03851F10"/>
    <w:rsid w:val="03B64C06"/>
    <w:rsid w:val="03CD70C0"/>
    <w:rsid w:val="05AE48B1"/>
    <w:rsid w:val="05D5264B"/>
    <w:rsid w:val="05E2578B"/>
    <w:rsid w:val="05EB0D3C"/>
    <w:rsid w:val="0683600D"/>
    <w:rsid w:val="068C4471"/>
    <w:rsid w:val="06DE4952"/>
    <w:rsid w:val="0702187C"/>
    <w:rsid w:val="07E06662"/>
    <w:rsid w:val="07E379D6"/>
    <w:rsid w:val="07F61666"/>
    <w:rsid w:val="085D3E7A"/>
    <w:rsid w:val="0884601F"/>
    <w:rsid w:val="08F85A16"/>
    <w:rsid w:val="093D0C8B"/>
    <w:rsid w:val="094F7464"/>
    <w:rsid w:val="09F938C5"/>
    <w:rsid w:val="0B26441F"/>
    <w:rsid w:val="0C7D601E"/>
    <w:rsid w:val="0C7F7942"/>
    <w:rsid w:val="0C930AF0"/>
    <w:rsid w:val="0CB234BE"/>
    <w:rsid w:val="0DDB4502"/>
    <w:rsid w:val="0DDD4563"/>
    <w:rsid w:val="0E387C9A"/>
    <w:rsid w:val="0EAD585F"/>
    <w:rsid w:val="0EC7780F"/>
    <w:rsid w:val="0F7E62C5"/>
    <w:rsid w:val="10D839BA"/>
    <w:rsid w:val="10F42BB6"/>
    <w:rsid w:val="11B320E9"/>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0007A6"/>
    <w:rsid w:val="1C2E6E3D"/>
    <w:rsid w:val="1CE42F4D"/>
    <w:rsid w:val="1D1D70BB"/>
    <w:rsid w:val="1D3258F3"/>
    <w:rsid w:val="1DCC4082"/>
    <w:rsid w:val="1F0D41FC"/>
    <w:rsid w:val="1F4F52B3"/>
    <w:rsid w:val="20396D59"/>
    <w:rsid w:val="20667F7A"/>
    <w:rsid w:val="217B6DE0"/>
    <w:rsid w:val="21DE0DC6"/>
    <w:rsid w:val="23165BC4"/>
    <w:rsid w:val="2357359C"/>
    <w:rsid w:val="23BF5A64"/>
    <w:rsid w:val="244C015A"/>
    <w:rsid w:val="24786E96"/>
    <w:rsid w:val="248213F1"/>
    <w:rsid w:val="25BD7738"/>
    <w:rsid w:val="26521C54"/>
    <w:rsid w:val="279428D1"/>
    <w:rsid w:val="27AE0917"/>
    <w:rsid w:val="286D53EC"/>
    <w:rsid w:val="2A9721FE"/>
    <w:rsid w:val="2AC936AC"/>
    <w:rsid w:val="2B180B48"/>
    <w:rsid w:val="2BDC1D9C"/>
    <w:rsid w:val="2BE072C1"/>
    <w:rsid w:val="2C1A6F09"/>
    <w:rsid w:val="2C5341B7"/>
    <w:rsid w:val="2CFD18A8"/>
    <w:rsid w:val="2D080B74"/>
    <w:rsid w:val="2DA471A1"/>
    <w:rsid w:val="2DF331EF"/>
    <w:rsid w:val="2DFC5FBC"/>
    <w:rsid w:val="2EE741D8"/>
    <w:rsid w:val="2F1F0253"/>
    <w:rsid w:val="2FA750F0"/>
    <w:rsid w:val="302612AC"/>
    <w:rsid w:val="310275E6"/>
    <w:rsid w:val="310529FA"/>
    <w:rsid w:val="333A6AC0"/>
    <w:rsid w:val="335F16C4"/>
    <w:rsid w:val="33AB1A5E"/>
    <w:rsid w:val="34DC57D3"/>
    <w:rsid w:val="35110080"/>
    <w:rsid w:val="364868A5"/>
    <w:rsid w:val="36A73843"/>
    <w:rsid w:val="384A6F56"/>
    <w:rsid w:val="38CE3800"/>
    <w:rsid w:val="397A5504"/>
    <w:rsid w:val="39D4235F"/>
    <w:rsid w:val="39F65E05"/>
    <w:rsid w:val="3A782E1A"/>
    <w:rsid w:val="3A951B45"/>
    <w:rsid w:val="3B8064B4"/>
    <w:rsid w:val="3BB73235"/>
    <w:rsid w:val="3BFB4879"/>
    <w:rsid w:val="3C4C1C8F"/>
    <w:rsid w:val="3C643660"/>
    <w:rsid w:val="3C9046B8"/>
    <w:rsid w:val="3D2A2A59"/>
    <w:rsid w:val="3D315B8A"/>
    <w:rsid w:val="3D4D05B2"/>
    <w:rsid w:val="3DD70146"/>
    <w:rsid w:val="3E385A7D"/>
    <w:rsid w:val="3E695F05"/>
    <w:rsid w:val="3E9F4046"/>
    <w:rsid w:val="3FD9341A"/>
    <w:rsid w:val="40DE1750"/>
    <w:rsid w:val="41024A57"/>
    <w:rsid w:val="413D0E6E"/>
    <w:rsid w:val="415E30FF"/>
    <w:rsid w:val="4201702E"/>
    <w:rsid w:val="42402417"/>
    <w:rsid w:val="42A02D73"/>
    <w:rsid w:val="44436A32"/>
    <w:rsid w:val="46F560E9"/>
    <w:rsid w:val="480A6789"/>
    <w:rsid w:val="490406EA"/>
    <w:rsid w:val="49191066"/>
    <w:rsid w:val="49313935"/>
    <w:rsid w:val="495632FA"/>
    <w:rsid w:val="49DE42B6"/>
    <w:rsid w:val="4A780B6D"/>
    <w:rsid w:val="4AD911BD"/>
    <w:rsid w:val="4B173257"/>
    <w:rsid w:val="4B941543"/>
    <w:rsid w:val="4BBA02F3"/>
    <w:rsid w:val="4BC13F2C"/>
    <w:rsid w:val="4C247965"/>
    <w:rsid w:val="4C26313D"/>
    <w:rsid w:val="4D4D4751"/>
    <w:rsid w:val="4DB56E60"/>
    <w:rsid w:val="4DDB1F0C"/>
    <w:rsid w:val="4E144593"/>
    <w:rsid w:val="4E560462"/>
    <w:rsid w:val="4E680FDD"/>
    <w:rsid w:val="4E6E2FBF"/>
    <w:rsid w:val="4E6F00B2"/>
    <w:rsid w:val="4E80735E"/>
    <w:rsid w:val="4EBE25EB"/>
    <w:rsid w:val="4F102499"/>
    <w:rsid w:val="4F3B2A0F"/>
    <w:rsid w:val="4F906066"/>
    <w:rsid w:val="50DE72B2"/>
    <w:rsid w:val="51C848AD"/>
    <w:rsid w:val="51F4251D"/>
    <w:rsid w:val="523E5817"/>
    <w:rsid w:val="52E32E2E"/>
    <w:rsid w:val="532B1CC6"/>
    <w:rsid w:val="533349C5"/>
    <w:rsid w:val="538A0E9F"/>
    <w:rsid w:val="53C85737"/>
    <w:rsid w:val="53DF754A"/>
    <w:rsid w:val="541772BE"/>
    <w:rsid w:val="54481D20"/>
    <w:rsid w:val="547E0AA5"/>
    <w:rsid w:val="55164E14"/>
    <w:rsid w:val="56047D84"/>
    <w:rsid w:val="56356B43"/>
    <w:rsid w:val="573F18DD"/>
    <w:rsid w:val="5829493E"/>
    <w:rsid w:val="58657D13"/>
    <w:rsid w:val="5953422A"/>
    <w:rsid w:val="59641D79"/>
    <w:rsid w:val="59B24DC8"/>
    <w:rsid w:val="5A1E34E2"/>
    <w:rsid w:val="5A8655CF"/>
    <w:rsid w:val="5B920B20"/>
    <w:rsid w:val="5C9C7FCA"/>
    <w:rsid w:val="5CB6770C"/>
    <w:rsid w:val="5CCF4B57"/>
    <w:rsid w:val="5EF4393E"/>
    <w:rsid w:val="5F236D6E"/>
    <w:rsid w:val="5F9429E9"/>
    <w:rsid w:val="5F951E38"/>
    <w:rsid w:val="5FE46AB1"/>
    <w:rsid w:val="5FF60ECD"/>
    <w:rsid w:val="60400E77"/>
    <w:rsid w:val="60952615"/>
    <w:rsid w:val="60D12887"/>
    <w:rsid w:val="611D4A99"/>
    <w:rsid w:val="61423401"/>
    <w:rsid w:val="61F82EE5"/>
    <w:rsid w:val="626A2E47"/>
    <w:rsid w:val="62984C24"/>
    <w:rsid w:val="62B9490E"/>
    <w:rsid w:val="62DE530E"/>
    <w:rsid w:val="630A04B1"/>
    <w:rsid w:val="630B557B"/>
    <w:rsid w:val="648C4953"/>
    <w:rsid w:val="64A0655C"/>
    <w:rsid w:val="652624A7"/>
    <w:rsid w:val="65686CFF"/>
    <w:rsid w:val="66B321EE"/>
    <w:rsid w:val="66D2508D"/>
    <w:rsid w:val="66D25C14"/>
    <w:rsid w:val="66E171F9"/>
    <w:rsid w:val="66E60688"/>
    <w:rsid w:val="66EC1B02"/>
    <w:rsid w:val="673C5FBB"/>
    <w:rsid w:val="67577F2B"/>
    <w:rsid w:val="683E1A36"/>
    <w:rsid w:val="68767F41"/>
    <w:rsid w:val="6AAE1A62"/>
    <w:rsid w:val="6B480D06"/>
    <w:rsid w:val="6BA56793"/>
    <w:rsid w:val="6C132D8B"/>
    <w:rsid w:val="6C206559"/>
    <w:rsid w:val="6DD50AB7"/>
    <w:rsid w:val="6EEA2FD9"/>
    <w:rsid w:val="6F2C5C33"/>
    <w:rsid w:val="6F5850B4"/>
    <w:rsid w:val="6F8C16CC"/>
    <w:rsid w:val="6FB47E34"/>
    <w:rsid w:val="6FF0314D"/>
    <w:rsid w:val="70282B3D"/>
    <w:rsid w:val="71011835"/>
    <w:rsid w:val="71FD46C3"/>
    <w:rsid w:val="7251270A"/>
    <w:rsid w:val="72C15CD8"/>
    <w:rsid w:val="735B630D"/>
    <w:rsid w:val="736C7EB9"/>
    <w:rsid w:val="73DC2906"/>
    <w:rsid w:val="74704934"/>
    <w:rsid w:val="75DF3031"/>
    <w:rsid w:val="76042365"/>
    <w:rsid w:val="77A44627"/>
    <w:rsid w:val="78083119"/>
    <w:rsid w:val="786F58CA"/>
    <w:rsid w:val="78787971"/>
    <w:rsid w:val="78A73C47"/>
    <w:rsid w:val="79173DDA"/>
    <w:rsid w:val="79C56EE6"/>
    <w:rsid w:val="7A2434C4"/>
    <w:rsid w:val="7B4D0237"/>
    <w:rsid w:val="7B5664EE"/>
    <w:rsid w:val="7B9E0197"/>
    <w:rsid w:val="7BAD2790"/>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2018-03-07T02:33:33Z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