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1973" w:right="0" w:firstLine="0"/>
        <w:jc w:val="left"/>
        <w:rPr>
          <w:b/>
          <w:sz w:val="24"/>
        </w:rPr>
      </w:pPr>
      <w:bookmarkStart w:id="0" w:name="_GoBack"/>
      <w:r>
        <w:rPr>
          <w:b/>
          <w:color w:val="333333"/>
          <w:sz w:val="24"/>
        </w:rPr>
        <w:t>2019 年内分泌学主治医师专业实践能力大纲</w:t>
      </w:r>
    </w:p>
    <w:bookmarkEnd w:id="0"/>
    <w:p>
      <w:pPr>
        <w:pStyle w:val="5"/>
        <w:keepNext w:val="0"/>
        <w:keepLines w:val="0"/>
        <w:widowControl/>
        <w:suppressLineNumbers w:val="0"/>
        <w:spacing w:line="360" w:lineRule="auto"/>
        <w:jc w:val="center"/>
        <w:rPr>
          <w:color w:val="333333"/>
          <w:sz w:val="21"/>
        </w:rPr>
      </w:pPr>
      <w:r>
        <w:rPr>
          <w:color w:val="333333"/>
          <w:sz w:val="21"/>
        </w:rPr>
        <w:t>标*为内科学专业实践能力考核内容</w:t>
      </w:r>
    </w:p>
    <w:tbl>
      <w:tblPr>
        <w:tblStyle w:val="9"/>
        <w:tblW w:w="8329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244"/>
        <w:gridCol w:w="3980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105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2"/>
              <w:spacing w:before="16" w:line="269" w:lineRule="exact"/>
              <w:ind w:left="6"/>
              <w:rPr>
                <w:sz w:val="21"/>
              </w:rPr>
            </w:pPr>
            <w:r>
              <w:rPr>
                <w:color w:val="333333"/>
                <w:sz w:val="21"/>
              </w:rPr>
              <w:t>系统</w:t>
            </w:r>
          </w:p>
        </w:tc>
        <w:tc>
          <w:tcPr>
            <w:tcW w:w="2244" w:type="dxa"/>
            <w:tcBorders>
              <w:bottom w:val="single" w:color="9F9F9F" w:sz="12" w:space="0"/>
            </w:tcBorders>
          </w:tcPr>
          <w:p>
            <w:pPr>
              <w:pStyle w:val="12"/>
              <w:spacing w:before="16" w:line="269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单元</w:t>
            </w:r>
          </w:p>
        </w:tc>
        <w:tc>
          <w:tcPr>
            <w:tcW w:w="3980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16" w:line="269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  <w:vAlign w:val="center"/>
          </w:tcPr>
          <w:p>
            <w:pPr>
              <w:pStyle w:val="12"/>
              <w:jc w:val="center"/>
              <w:rPr>
                <w:sz w:val="20"/>
              </w:rPr>
            </w:pPr>
          </w:p>
          <w:p>
            <w:pPr>
              <w:pStyle w:val="12"/>
              <w:ind w:left="6" w:right="-29"/>
              <w:jc w:val="both"/>
              <w:rPr>
                <w:sz w:val="21"/>
              </w:rPr>
            </w:pPr>
            <w:r>
              <w:rPr>
                <w:color w:val="333333"/>
                <w:spacing w:val="-6"/>
                <w:sz w:val="21"/>
              </w:rPr>
              <w:t>一、下丘脑与垂体疾病</w:t>
            </w: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18"/>
              </w:rPr>
            </w:pPr>
          </w:p>
          <w:p>
            <w:pPr>
              <w:pStyle w:val="12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1.腺垂体功能亢进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534"/>
              </w:tabs>
              <w:spacing w:before="22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垂体瘤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34"/>
              </w:tabs>
              <w:spacing w:before="43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巨人症和肢端肥大症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34"/>
              </w:tabs>
              <w:spacing w:before="43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泌乳素瘤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78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2.腺垂体功能减退症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534"/>
              </w:tabs>
              <w:spacing w:before="22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席汗综合征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34"/>
              </w:tabs>
              <w:spacing w:before="43" w:after="0" w:line="269" w:lineRule="exact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生长激素缺乏性侏儒症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18"/>
              </w:rPr>
            </w:pPr>
          </w:p>
          <w:p>
            <w:pPr>
              <w:pStyle w:val="12"/>
              <w:spacing w:before="1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3.尿崩症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534"/>
              </w:tabs>
              <w:spacing w:before="22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中枢性尿崩症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34"/>
              </w:tabs>
              <w:spacing w:before="43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肾性尿崩症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34"/>
              </w:tabs>
              <w:spacing w:before="43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精神性多饮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color w:val="333333"/>
                <w:sz w:val="21"/>
                <w:lang w:eastAsia="zh-CN"/>
              </w:rPr>
              <w:t>二、甲状腺疾病</w:t>
            </w: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"/>
              <w:ind w:left="4"/>
              <w:rPr>
                <w:rFonts w:hint="eastAsia" w:eastAsia="宋体"/>
                <w:color w:val="33333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lang w:val="en-US" w:eastAsia="zh-CN"/>
              </w:rPr>
              <w:t>1、甲状腺功能亢进症*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color w:val="333333"/>
                <w:spacing w:val="-3"/>
                <w:sz w:val="21"/>
                <w:lang w:val="en-US"/>
              </w:rPr>
            </w:pPr>
            <w:r>
              <w:rPr>
                <w:rFonts w:hint="eastAsia" w:eastAsia="宋体"/>
                <w:color w:val="333333"/>
                <w:spacing w:val="-2"/>
                <w:sz w:val="21"/>
                <w:lang w:val="en-US" w:eastAsia="zh-CN"/>
              </w:rPr>
              <w:t>Graves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"/>
              <w:ind w:left="4"/>
              <w:rPr>
                <w:rFonts w:hint="eastAsia" w:eastAsia="宋体"/>
                <w:color w:val="33333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lang w:val="en-US" w:eastAsia="zh-CN"/>
              </w:rPr>
              <w:t>2、甲状腺功能减退症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right="0" w:rightChars="0"/>
              <w:jc w:val="left"/>
              <w:rPr>
                <w:color w:val="333333"/>
                <w:spacing w:val="-3"/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"/>
              <w:ind w:left="4"/>
              <w:rPr>
                <w:rFonts w:hint="eastAsia" w:eastAsia="宋体"/>
                <w:color w:val="33333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lang w:val="en-US" w:eastAsia="zh-CN"/>
              </w:rPr>
              <w:t>3、甲状腺炎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eastAsia="zh-CN"/>
              </w:rPr>
            </w:pPr>
            <w:r>
              <w:rPr>
                <w:rFonts w:hint="eastAsia" w:eastAsia="宋体"/>
                <w:color w:val="333333"/>
                <w:spacing w:val="-3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333333"/>
                <w:spacing w:val="-3"/>
                <w:sz w:val="21"/>
                <w:lang w:eastAsia="zh-CN"/>
              </w:rPr>
              <w:t>）亚急性甲状腺炎</w:t>
            </w:r>
          </w:p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  <w:t>（2）慢性淋巴细胞性甲状腺炎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"/>
              <w:ind w:left="4"/>
              <w:rPr>
                <w:rFonts w:hint="eastAsia" w:eastAsia="宋体"/>
                <w:color w:val="33333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lang w:val="en-US" w:eastAsia="zh-CN"/>
              </w:rPr>
              <w:t>4、单纯性甲状腺肿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三、肾上腺疾病</w:t>
            </w: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"/>
              <w:ind w:left="4"/>
              <w:rPr>
                <w:rFonts w:hint="eastAsia" w:eastAsia="宋体"/>
                <w:color w:val="33333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lang w:val="en-US" w:eastAsia="zh-CN"/>
              </w:rPr>
              <w:t>1、肾上腺皮质疾病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  <w:t>（1）库欣综合征</w:t>
            </w:r>
          </w:p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  <w:t>（2）原发性醛固酮增多症</w:t>
            </w:r>
          </w:p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  <w:t>（3）原发性肾上腺素皮质功能减退症</w:t>
            </w:r>
          </w:p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2"/>
              <w:spacing w:before="1"/>
              <w:ind w:left="4"/>
              <w:rPr>
                <w:rFonts w:hint="eastAsia" w:eastAsia="宋体"/>
                <w:color w:val="33333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z w:val="21"/>
                <w:lang w:val="en-US" w:eastAsia="zh-CN"/>
              </w:rPr>
              <w:t>2、肾上腺髓质疾病</w:t>
            </w:r>
          </w:p>
        </w:tc>
        <w:tc>
          <w:tcPr>
            <w:tcW w:w="3980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numId w:val="0"/>
              </w:numPr>
              <w:tabs>
                <w:tab w:val="left" w:pos="534"/>
              </w:tabs>
              <w:spacing w:before="43" w:after="0" w:line="240" w:lineRule="auto"/>
              <w:ind w:left="4" w:leftChars="0" w:right="0" w:rightChars="0"/>
              <w:jc w:val="left"/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</w:pPr>
            <w:r>
              <w:rPr>
                <w:rFonts w:hint="eastAsia" w:eastAsia="宋体"/>
                <w:color w:val="333333"/>
                <w:spacing w:val="-3"/>
                <w:sz w:val="21"/>
                <w:lang w:val="en-US" w:eastAsia="zh-CN"/>
              </w:rPr>
              <w:t>嗜铬细胞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2105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6"/>
              <w:rPr>
                <w:sz w:val="22"/>
              </w:rPr>
            </w:pPr>
          </w:p>
          <w:p>
            <w:pPr>
              <w:pStyle w:val="12"/>
              <w:spacing w:before="1"/>
              <w:ind w:left="6"/>
              <w:rPr>
                <w:sz w:val="21"/>
              </w:rPr>
            </w:pPr>
            <w:r>
              <w:rPr>
                <w:color w:val="333333"/>
                <w:sz w:val="21"/>
              </w:rPr>
              <w:t>四、代谢性疾病</w:t>
            </w: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3"/>
              <w:rPr>
                <w:sz w:val="18"/>
              </w:rPr>
            </w:pPr>
          </w:p>
          <w:p>
            <w:pPr>
              <w:pStyle w:val="12"/>
              <w:ind w:left="4"/>
              <w:rPr>
                <w:sz w:val="21"/>
              </w:rPr>
            </w:pPr>
            <w:r>
              <w:fldChar w:fldCharType="begin"/>
            </w:r>
            <w:r>
              <w:instrText xml:space="preserve"> HYPERLINK "http://www.med66.com/jibing/tangniaobing/" \h </w:instrText>
            </w:r>
            <w:r>
              <w:fldChar w:fldCharType="separate"/>
            </w:r>
            <w:r>
              <w:rPr>
                <w:color w:val="333333"/>
                <w:sz w:val="21"/>
              </w:rPr>
              <w:t>1.糖尿病</w:t>
            </w:r>
            <w:r>
              <w:rPr>
                <w:color w:val="333333"/>
                <w:sz w:val="21"/>
              </w:rPr>
              <w:fldChar w:fldCharType="end"/>
            </w:r>
            <w:r>
              <w:rPr>
                <w:color w:val="333333"/>
                <w:sz w:val="21"/>
              </w:rPr>
              <w:t>*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534"/>
              </w:tabs>
              <w:spacing w:before="22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2"/>
                <w:sz w:val="21"/>
              </w:rPr>
              <w:t>糖尿病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34"/>
              </w:tabs>
              <w:spacing w:before="43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糖尿病急性并发症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34"/>
              </w:tabs>
              <w:spacing w:before="43" w:after="0" w:line="240" w:lineRule="auto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糖尿病慢性并发症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spacing w:before="22" w:line="269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2.低血糖症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22" w:line="269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胰岛素瘤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spacing w:before="22"/>
              <w:ind w:left="4" w:right="-15"/>
              <w:rPr>
                <w:sz w:val="21"/>
              </w:rPr>
            </w:pPr>
            <w:r>
              <w:rPr>
                <w:color w:val="333333"/>
                <w:sz w:val="21"/>
              </w:rPr>
              <w:t>3.</w:t>
            </w:r>
            <w:r>
              <w:rPr>
                <w:color w:val="333333"/>
                <w:spacing w:val="-3"/>
                <w:sz w:val="21"/>
              </w:rPr>
              <w:t>血脂和脂蛋白异常症</w:t>
            </w:r>
            <w:r>
              <w:rPr>
                <w:color w:val="333333"/>
                <w:spacing w:val="-15"/>
                <w:sz w:val="21"/>
              </w:rPr>
              <w:t>*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7"/>
              </w:rPr>
            </w:pPr>
          </w:p>
          <w:p>
            <w:pPr>
              <w:pStyle w:val="12"/>
              <w:spacing w:line="278" w:lineRule="auto"/>
              <w:ind w:left="4" w:right="-29"/>
              <w:rPr>
                <w:sz w:val="21"/>
              </w:rPr>
            </w:pPr>
            <w:r>
              <w:rPr>
                <w:color w:val="333333"/>
                <w:sz w:val="21"/>
              </w:rPr>
              <w:t>4.</w:t>
            </w:r>
            <w:r>
              <w:rPr>
                <w:color w:val="333333"/>
                <w:spacing w:val="-15"/>
                <w:sz w:val="21"/>
              </w:rPr>
              <w:t>水、电解质代谢和酸碱</w:t>
            </w:r>
            <w:r>
              <w:rPr>
                <w:color w:val="333333"/>
                <w:spacing w:val="-1"/>
                <w:sz w:val="21"/>
              </w:rPr>
              <w:t>平衡失调</w:t>
            </w:r>
            <w:r>
              <w:rPr>
                <w:color w:val="333333"/>
                <w:sz w:val="21"/>
              </w:rPr>
              <w:t>*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22" w:line="278" w:lineRule="auto"/>
              <w:ind w:left="4" w:right="-29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（1）</w:t>
            </w:r>
            <w:r>
              <w:rPr>
                <w:color w:val="333333"/>
                <w:spacing w:val="-6"/>
                <w:sz w:val="21"/>
              </w:rPr>
              <w:t>.水、钠代谢失常</w:t>
            </w:r>
            <w:r>
              <w:rPr>
                <w:color w:val="333333"/>
                <w:spacing w:val="-3"/>
                <w:sz w:val="21"/>
              </w:rPr>
              <w:t>（</w:t>
            </w:r>
            <w:r>
              <w:rPr>
                <w:color w:val="333333"/>
                <w:spacing w:val="-4"/>
                <w:sz w:val="21"/>
              </w:rPr>
              <w:t>失水、水过多和水</w:t>
            </w:r>
            <w:r>
              <w:rPr>
                <w:color w:val="333333"/>
                <w:spacing w:val="-3"/>
                <w:sz w:val="21"/>
              </w:rPr>
              <w:t>中毒、低钠血症、高钠血症</w:t>
            </w:r>
            <w:r>
              <w:rPr>
                <w:color w:val="333333"/>
                <w:sz w:val="21"/>
              </w:rPr>
              <w:t>）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34"/>
              </w:tabs>
              <w:spacing w:before="0" w:after="0" w:line="269" w:lineRule="exact"/>
              <w:ind w:left="533" w:right="0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钾代谢失常（低钾和高钾血症</w:t>
            </w:r>
            <w:r>
              <w:rPr>
                <w:color w:val="333333"/>
                <w:sz w:val="21"/>
              </w:rPr>
              <w:t>）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34"/>
              </w:tabs>
              <w:spacing w:before="43" w:after="0" w:line="240" w:lineRule="auto"/>
              <w:ind w:left="533" w:right="-58" w:hanging="529"/>
              <w:jc w:val="left"/>
              <w:rPr>
                <w:sz w:val="21"/>
              </w:rPr>
            </w:pPr>
            <w:r>
              <w:rPr>
                <w:color w:val="333333"/>
                <w:spacing w:val="-3"/>
                <w:sz w:val="21"/>
              </w:rPr>
              <w:t>酸碱平衡失调</w:t>
            </w:r>
            <w:r>
              <w:rPr>
                <w:color w:val="333333"/>
                <w:sz w:val="21"/>
              </w:rPr>
              <w:t>（</w:t>
            </w:r>
            <w:r>
              <w:rPr>
                <w:color w:val="333333"/>
                <w:spacing w:val="-3"/>
                <w:sz w:val="21"/>
              </w:rPr>
              <w:t>代谢性酸中毒、代谢</w:t>
            </w:r>
          </w:p>
          <w:p>
            <w:pPr>
              <w:pStyle w:val="12"/>
              <w:spacing w:before="2" w:line="310" w:lineRule="atLeast"/>
              <w:ind w:left="4" w:right="-58"/>
              <w:rPr>
                <w:sz w:val="21"/>
              </w:rPr>
            </w:pPr>
            <w:r>
              <w:rPr>
                <w:color w:val="333333"/>
                <w:spacing w:val="-4"/>
                <w:sz w:val="21"/>
              </w:rPr>
              <w:t>性碱中毒、呼吸性酸中毒、呼吸性碱中毒、</w:t>
            </w:r>
            <w:r>
              <w:rPr>
                <w:color w:val="333333"/>
                <w:spacing w:val="-3"/>
                <w:sz w:val="21"/>
              </w:rPr>
              <w:t>混合性酸碱平衡障碍</w:t>
            </w:r>
            <w:r>
              <w:rPr>
                <w:color w:val="333333"/>
                <w:sz w:val="21"/>
              </w:rPr>
              <w:t>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spacing w:before="22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5.肥胖症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spacing w:before="22" w:line="269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6.痛风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105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0"/>
              <w:rPr>
                <w:sz w:val="21"/>
              </w:rPr>
            </w:pPr>
          </w:p>
          <w:p>
            <w:pPr>
              <w:pStyle w:val="12"/>
              <w:spacing w:line="278" w:lineRule="auto"/>
              <w:ind w:left="6" w:right="-29"/>
              <w:rPr>
                <w:sz w:val="21"/>
              </w:rPr>
            </w:pPr>
            <w:r>
              <w:rPr>
                <w:color w:val="333333"/>
                <w:spacing w:val="-6"/>
                <w:sz w:val="21"/>
              </w:rPr>
              <w:t>五、矿盐和骨代谢性疾病</w:t>
            </w: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spacing w:before="22" w:line="264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1.甲状旁腺功能亢进症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spacing w:before="14" w:line="261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2.甲状旁腺功能低下症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bottom w:val="single" w:color="9F9F9F" w:sz="12" w:space="0"/>
              <w:right w:val="double" w:color="EFEFEF" w:sz="2" w:space="0"/>
            </w:tcBorders>
          </w:tcPr>
          <w:p>
            <w:pPr>
              <w:pStyle w:val="12"/>
              <w:spacing w:before="14" w:line="256" w:lineRule="exact"/>
              <w:ind w:left="4"/>
              <w:rPr>
                <w:sz w:val="21"/>
              </w:rPr>
            </w:pPr>
            <w:r>
              <w:fldChar w:fldCharType="begin"/>
            </w:r>
            <w:r>
              <w:instrText xml:space="preserve"> HYPERLINK "http://www.med66.com/jibing/guzhishusong/" \h </w:instrText>
            </w:r>
            <w:r>
              <w:fldChar w:fldCharType="separate"/>
            </w:r>
            <w:r>
              <w:rPr>
                <w:color w:val="333333"/>
                <w:sz w:val="21"/>
              </w:rPr>
              <w:t>3.骨质疏松</w:t>
            </w:r>
            <w:r>
              <w:rPr>
                <w:color w:val="333333"/>
                <w:sz w:val="21"/>
              </w:rPr>
              <w:fldChar w:fldCharType="end"/>
            </w:r>
            <w:r>
              <w:rPr>
                <w:color w:val="333333"/>
                <w:sz w:val="21"/>
              </w:rPr>
              <w:t>症</w:t>
            </w:r>
          </w:p>
        </w:tc>
        <w:tc>
          <w:tcPr>
            <w:tcW w:w="3980" w:type="dxa"/>
            <w:tcBorders>
              <w:top w:val="single" w:color="9F9F9F" w:sz="12" w:space="0"/>
              <w:left w:val="double" w:color="EFEFEF" w:sz="2" w:space="0"/>
              <w:bottom w:val="single" w:color="EFEFEF" w:sz="6" w:space="0"/>
              <w:right w:val="single" w:color="9F9F9F" w:sz="1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105" w:type="dxa"/>
            <w:vMerge w:val="continue"/>
            <w:tcBorders>
              <w:top w:val="nil"/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single" w:color="9F9F9F" w:sz="12" w:space="0"/>
              <w:right w:val="single" w:color="EFEFEF" w:sz="6" w:space="0"/>
            </w:tcBorders>
          </w:tcPr>
          <w:p>
            <w:pPr>
              <w:pStyle w:val="12"/>
              <w:spacing w:before="22" w:line="260" w:lineRule="exact"/>
              <w:ind w:left="4"/>
              <w:rPr>
                <w:sz w:val="21"/>
              </w:rPr>
            </w:pPr>
            <w:r>
              <w:rPr>
                <w:color w:val="333333"/>
                <w:sz w:val="21"/>
              </w:rPr>
              <w:t>4.骨软化症</w:t>
            </w:r>
          </w:p>
        </w:tc>
        <w:tc>
          <w:tcPr>
            <w:tcW w:w="3980" w:type="dxa"/>
            <w:tcBorders>
              <w:top w:val="single" w:color="EFEFEF" w:sz="6" w:space="0"/>
              <w:left w:val="single" w:color="EFEFEF" w:sz="6" w:space="0"/>
              <w:bottom w:val="single" w:color="9F9F9F" w:sz="6" w:space="0"/>
              <w:right w:val="single" w:color="9F9F9F" w:sz="6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  <w:jc w:val="left"/>
        <w:rPr>
          <w:color w:val="333333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4E439"/>
    <w:multiLevelType w:val="multilevel"/>
    <w:tmpl w:val="9F94E439"/>
    <w:lvl w:ilvl="0" w:tentative="0">
      <w:start w:val="1"/>
      <w:numFmt w:val="decimal"/>
      <w:lvlText w:val="（%1）"/>
      <w:lvlJc w:val="left"/>
      <w:pPr>
        <w:ind w:left="533" w:hanging="530"/>
        <w:jc w:val="left"/>
      </w:pPr>
      <w:rPr>
        <w:rFonts w:hint="default" w:ascii="宋体" w:hAnsi="宋体" w:eastAsia="宋体" w:cs="宋体"/>
        <w:color w:val="333333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0" w:hanging="5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20" w:hanging="5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0" w:hanging="5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1" w:hanging="5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41" w:hanging="5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81" w:hanging="5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21" w:hanging="5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62" w:hanging="530"/>
      </w:pPr>
      <w:rPr>
        <w:rFonts w:hint="default"/>
        <w:lang w:val="zh-CN" w:eastAsia="zh-CN" w:bidi="zh-CN"/>
      </w:rPr>
    </w:lvl>
  </w:abstractNum>
  <w:abstractNum w:abstractNumId="1">
    <w:nsid w:val="A125D1D3"/>
    <w:multiLevelType w:val="multilevel"/>
    <w:tmpl w:val="A125D1D3"/>
    <w:lvl w:ilvl="0" w:tentative="0">
      <w:start w:val="2"/>
      <w:numFmt w:val="decimal"/>
      <w:lvlText w:val="（%1）"/>
      <w:lvlJc w:val="left"/>
      <w:pPr>
        <w:ind w:left="533" w:hanging="530"/>
        <w:jc w:val="left"/>
      </w:pPr>
      <w:rPr>
        <w:rFonts w:hint="default" w:ascii="宋体" w:hAnsi="宋体" w:eastAsia="宋体" w:cs="宋体"/>
        <w:color w:val="333333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0" w:hanging="5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20" w:hanging="5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0" w:hanging="5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1" w:hanging="5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41" w:hanging="5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81" w:hanging="5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21" w:hanging="5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62" w:hanging="530"/>
      </w:pPr>
      <w:rPr>
        <w:rFonts w:hint="default"/>
        <w:lang w:val="zh-CN" w:eastAsia="zh-CN" w:bidi="zh-CN"/>
      </w:rPr>
    </w:lvl>
  </w:abstractNum>
  <w:abstractNum w:abstractNumId="2">
    <w:nsid w:val="BEDBFA51"/>
    <w:multiLevelType w:val="multilevel"/>
    <w:tmpl w:val="BEDBFA51"/>
    <w:lvl w:ilvl="0" w:tentative="0">
      <w:start w:val="1"/>
      <w:numFmt w:val="decimal"/>
      <w:lvlText w:val="（%1）"/>
      <w:lvlJc w:val="left"/>
      <w:pPr>
        <w:ind w:left="533" w:hanging="530"/>
        <w:jc w:val="left"/>
      </w:pPr>
      <w:rPr>
        <w:rFonts w:hint="default" w:ascii="宋体" w:hAnsi="宋体" w:eastAsia="宋体" w:cs="宋体"/>
        <w:color w:val="333333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0" w:hanging="5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20" w:hanging="5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0" w:hanging="5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1" w:hanging="5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41" w:hanging="5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81" w:hanging="5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21" w:hanging="5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62" w:hanging="530"/>
      </w:pPr>
      <w:rPr>
        <w:rFonts w:hint="default"/>
        <w:lang w:val="zh-CN" w:eastAsia="zh-CN" w:bidi="zh-CN"/>
      </w:rPr>
    </w:lvl>
  </w:abstractNum>
  <w:abstractNum w:abstractNumId="3">
    <w:nsid w:val="F3B956F0"/>
    <w:multiLevelType w:val="multilevel"/>
    <w:tmpl w:val="F3B956F0"/>
    <w:lvl w:ilvl="0" w:tentative="0">
      <w:start w:val="1"/>
      <w:numFmt w:val="decimal"/>
      <w:lvlText w:val="（%1）"/>
      <w:lvlJc w:val="left"/>
      <w:pPr>
        <w:ind w:left="533" w:hanging="530"/>
        <w:jc w:val="left"/>
      </w:pPr>
      <w:rPr>
        <w:rFonts w:hint="default" w:ascii="宋体" w:hAnsi="宋体" w:eastAsia="宋体" w:cs="宋体"/>
        <w:color w:val="333333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0" w:hanging="5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20" w:hanging="5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0" w:hanging="5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1" w:hanging="5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41" w:hanging="5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81" w:hanging="5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21" w:hanging="5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62" w:hanging="530"/>
      </w:pPr>
      <w:rPr>
        <w:rFonts w:hint="default"/>
        <w:lang w:val="zh-CN" w:eastAsia="zh-CN" w:bidi="zh-CN"/>
      </w:rPr>
    </w:lvl>
  </w:abstractNum>
  <w:abstractNum w:abstractNumId="4">
    <w:nsid w:val="3F1717E6"/>
    <w:multiLevelType w:val="multilevel"/>
    <w:tmpl w:val="3F1717E6"/>
    <w:lvl w:ilvl="0" w:tentative="0">
      <w:start w:val="1"/>
      <w:numFmt w:val="decimal"/>
      <w:lvlText w:val="（%1）"/>
      <w:lvlJc w:val="left"/>
      <w:pPr>
        <w:ind w:left="533" w:hanging="530"/>
        <w:jc w:val="left"/>
      </w:pPr>
      <w:rPr>
        <w:rFonts w:hint="default" w:ascii="宋体" w:hAnsi="宋体" w:eastAsia="宋体" w:cs="宋体"/>
        <w:color w:val="333333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0" w:hanging="53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20" w:hanging="53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0" w:hanging="53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01" w:hanging="53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41" w:hanging="53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81" w:hanging="53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921" w:hanging="53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62" w:hanging="530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5B30787"/>
    <w:rsid w:val="26492C16"/>
    <w:rsid w:val="279428D1"/>
    <w:rsid w:val="2B60146F"/>
    <w:rsid w:val="2DFC5FBC"/>
    <w:rsid w:val="31F13698"/>
    <w:rsid w:val="33AB1A5E"/>
    <w:rsid w:val="3ACB4C2F"/>
    <w:rsid w:val="3B8064B4"/>
    <w:rsid w:val="3C7324C0"/>
    <w:rsid w:val="40DE1750"/>
    <w:rsid w:val="41024A57"/>
    <w:rsid w:val="45925C8C"/>
    <w:rsid w:val="4BBA02F3"/>
    <w:rsid w:val="4DB56E60"/>
    <w:rsid w:val="66D25C14"/>
    <w:rsid w:val="6BA56793"/>
    <w:rsid w:val="71193842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4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2018-11-23T07:51:49Z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