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8.25下午预测+考点</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1.义齿修复前，对口腔软组织的处理措施中不包括</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A.松软牙槽嵴的修整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B.义齿性口炎治疗</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C.黏膜扁平苔藓治疗</w:t>
      </w:r>
      <w:bookmarkStart w:id="0" w:name="_GoBack"/>
      <w:bookmarkEnd w:id="0"/>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D.咀嚼肌功能训练</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E.唇系带修整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2.恢复（牙合）面正常形态的主要意义在于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A.美观</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B.发音</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C.提高咀嚼功能</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D.保证食物的正常溢出道</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E.维持龈组织的正常张力</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3.牙槽骨修整的最佳时间为拔牙后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A.即刻修整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B.1个月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C.6个月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D.3个月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E.5个月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4.颞下颌关节区检查的内容不包括</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A.下颌侧方运动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B.外耳道前壁检查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C.颞下颌关节活动度的检查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D.开口度及开口型</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E.（牙合）关系检查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5.下列哪项不是（牙合）关系检查的内容</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A.上下颌牙列中线是否一致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B.上下第一磨牙是否是中性（牙合）关系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C.息止颌位的检查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D.牙列检查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E.（牙合）干扰检查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6.上颌侧切牙牙冠缺损，在初诊时无须问诊的内容为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A.就诊主要原因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B.是否影响进食</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C.缺损原因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D.已接受过的治疗</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E.有无不适症状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7.关于修复前外科处理的内容下列哪项是错误的</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A.重度伸长牙的处理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B.骨性隆突修整术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C.前庭沟加深术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D.牙槽嵴重建术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E.牙槽嵴修整术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8.修复开始前需要进行口腔检查，除外</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A.口腔外部检查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B.口腔内的检查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C.X线检査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D.制取模型检査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E.细菌培养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9.修复前口腔的一般处理不包括</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A.拆除不良修复体</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B.处理急症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C.治疗和控制龋病和牙周病</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D.拔除松动牙（吸收达到2/3）</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E.保持良好的口腔卫生</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10.正常人的开口度为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A.2.5～2.9 cm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B.3.0～3.5 cm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C.3.7～4.5 cm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D.4.6～5.0 cm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E.5.1～5.4 cm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11.关于口腔检查的顺序，以下错误的是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A.先整体后局部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B.先内后外</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C.先一般后特殊</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D.先上后下</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E.先左后右</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12.义齿重衬前要检查的内容不包括</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A.人工牙的材质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B.正中关系是否正确</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C.非正中关系是否正确</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D.有无（牙合）干扰</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E.有无压痛和黏膜溃疡</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13.下列不会影响面部外形的对称性的是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A.偏侧咀嚼</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B.牙列缺失</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C.后牙早失</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D.牙列缺损</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E.单个牙牙体缺损</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14.与牙列缺失修复前颌面部检查无关的是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A.检查颌面部两侧是否对称</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B.上唇长度及丰满度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C.面中1/3高度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D.下颌开闭口运动有否习惯性前伸及偏斜</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E.颞下颌关节有否疼痛弹响张口困难等</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15.牙列缺失后，下颌骨的改变中错误的是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A.唇颊侧骨板较舌侧薄而疏松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B.牙槽骨顺牙根方向吸收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C.颌弓前段向下向前吸收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D.颌弓后段向下向外吸收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E.严重者下颌舌骨嵴可接近牙槽嵴顶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16.在下列解剖标志中，哪个不属于口腔前庭范围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A.唇系带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B.颊系带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C.舌系带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D.上颌结节</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E.颊侧翼缘区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17.金属烤瓷全冠舌侧颈缘如以金属为冠边缘者，可预备成以下形状。除了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A.羽状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B.凹槽形</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C.较宽的肩台</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D.直角斜面形</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E.与金属全冠边缘相同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18.金属-烤瓷结合中，最重要的结合力是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A.机械结合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B.范德华力</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C.倒凹固位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D.化学结合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E.压力结合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19.抗力和固位力最佳的修复体类型为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A.复面嵌体</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B.3/4冠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C.烤瓷冠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D.铸造全冠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E.桩核冠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20.一患者上中切牙因冠折1/4（未露髓），行金属烤瓷冠修复，但粘固已一个月，自诉遇冷热刺激后疼痛明显，其原因最可能是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A.创伤性咬合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B.根尖周炎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C.牙髓炎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D.牙周炎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E.牙本质过敏</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21.良好的全冠轴面形态有利于保护</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A.基牙的牙周膜</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B.基牙的牙龈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C.基牙的牙槽骨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D.基牙不破折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E.全冠不破折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22.前牙3/4冠邻面预备时下面不恰当的是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A.近远中面平行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B.与长轴平行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C.唇侧边界止于接触区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D.在唇舌向与邻面外形一致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E.两邻面向长轴稍聚合2°～5°</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23.全冠修复体采用龈上边缘的最主要优点是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A.不易附着菌斑</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B.美观性好</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C.边缘密合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D.对龈缘刺激小</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E.不易附着牙垢</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24.上前牙3/4冠邻沟的方向为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A.与唇面切1/3平行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B.与唇面切2/3平行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C.与唇面龈2/3平行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D.与舌隆突平行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E.与牙长轴平行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25.设计修复体龈缘的位置时不必考虑</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A.患牙的形态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B.修复体的固位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C.患牙的牙周状况</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D.患者的口腔卫生状况</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E.咬合力的大小</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26.为后牙铸造金属全冠做牙体预备时，错误的做法是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A.邻面聚合角以2°～5°为宜</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B.各轴面角的线角磨圆钝</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C.（牙合）面磨除一般为0.5～1.0 mm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D.上颌牙舌尖斜面不必多磨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E.颈部预备凹形肩台</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27.牙冠修复体的邻面与邻牙紧密接触的目的不是为了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A.防止食物嵌塞</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B.维持牙位、牙弓形态的稳定</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C.与邻牙相互支持、分散（牙合）力</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D.保持每个牙各区的生理运动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E.防止对颌牙伸长</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28.（牙合）面嵌体洞型的洞深应为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A.大于2 mm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B.2 mm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C.1.75 mm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D.1.5 mm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E.1.25 mm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29.牙体缺损的定义是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A.牙体组织龋损</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B.接触点丧失</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C.牙体硬组织破损</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D.牙体组织磨耗</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E.牙冠隐裂</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30.牙体缺损修复中增强修复体抗力型的措施不包括</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A.避免应力集中</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B.增大牙尖斜度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C.选用强度高的材料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D.金瓷衔接区远离咬合接触点</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E.充足的修复空间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31.某市冬季取暖，大量燃烧富含硫的煤碳，受到二氧化硫严重污染的地区的居民何种疾病发病率升高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A.血液系统疾病发病率升高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B.上呼吸道感染发病率升高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C.高血压发病率升高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D.泌尿系统疾病发病率升高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E.心血管系统疾病发病率升高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32.在炎热的夏季，下列何种化学物经日光照射，可发生光化学烟雾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A.二氧化碳和氯化氢</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B.二硫化碳和硫化氢</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C.氮氧化物和烃类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D.氰化物和一氧化碳</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E.二氧化碳和二氧化硫</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33.亚硝酸盐食物中毒的机制是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A.与胺作用形成亚硝酸胺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B.使亚铁血红蛋白氧化为高铁血红蛋白</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C.转化为硝酸盐</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D.抵制乙酰胆碱酯酶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E.溶血</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34.引起副溶血弧菌食物中毒的主要食物是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A.罐头食品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B.剩米饭、凉糕</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C.奶及奶制品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D.家庭自制豆制品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E.海产品及盐腌制类食品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35.某医生开展一项科研工作，按统计工作步骤进行，不属于搜集的资料内容是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A.录入计算机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B.实验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C.专题调查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D.统计报表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E.医疗卫生工作记录</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36.在临床试验中，将研究对象进行随机分组的目的是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A.提高研究对象的依从性</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B.增强研究对象的代表性</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C.增强试验组和对照组的可比性</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D.使试验组和对照组都受益</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E.降低试验组的失访率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37.假设检验的目的</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A.研究总体指标的变化</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B.研究样本指标的变化</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C.排除主观因素对抽样的影响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D.排除抽样误差的影响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E.排除系统误差的影响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38.比较不同职业人群的冠心病患病率的假设检验，应计算的统计量为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A.t</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B.X</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C.F</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D.X2</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E.P</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39.疾病的三间分布是指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A.国家、地区和城市分布</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B.职业、家庭和环境分布</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C.短期波动、季节性和周期性分布</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D.年龄、性别和种族分布</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E.时间、地区和人群分布</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40.百分条图表示各组成部分各百分比构成，其作用同于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A.直条图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B.线图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C.圆图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D.直方图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E.散点图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41.统计推断的内容是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A.计算标准化率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B.计算样本率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C.计算样本均值</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D.检验统计上的“假设”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E.估计参考值范围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42.分析胎儿不同出生体重和围产儿死亡率之间是否有关，可以选用的统计方法是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A.t检验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B.F检验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C.X2检验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D.相关分析</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E.秩和检验</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43.抽样调查中较准确而且便于实行的方法是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A.单纯随机抽样</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B.机械抽样</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C.分层抽样</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D.整群抽样</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E.分层加整群</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44.已知某病患者8人的潜伏期（天）分别为：6、8、8、10、12、15、16、17,其平均潜伏期（天）为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A.8</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B.10</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C.11</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D.12</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E.15</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45.欲用统计图比较1994~2003年城市和农村3岁以下儿童贫血患病率的变化趋势，选用何种统计图最为合适</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A.条图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B.线图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C.圆图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D.直方图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E.散点图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46.关于队列研究，下列哪项是错误的</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A.属于观察法</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B.是分析性研究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C.预测疾病发生的危害因素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D.由果及因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E.可以直接获得研究人群的发病率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47.评价社区冠心病干预措施效果最有意义的指标是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A.患病率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B.罹患率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C.发病率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D.死亡率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E.病死率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48.我们日常所说的“疾病监测”指的是流行病学研究中</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A.横断面研究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B.常规资料分析</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C纵向研究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D.群组研究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E.病例对照研究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49.在流行病学实验性研究中，采用盲法的目的是为了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A.减少样品量</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B.减少偏倚</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C.防止失访</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D.对受试对象安全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E.使统计效力增加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50.某医师欲采用横断面调查研究的方法，调查高血压病在人群中的分布情况，选择最合适的指标为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A.病死率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B.发病率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C.死亡率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D.患病率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E.二代发病率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考点</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1.对于牙槽骨吸收达到根2/3以上，牙松动达Ⅲ度者应拔除。</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2.义齿修复前骨尖修整的最佳时机是拔牙后1个月左右。</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3.牙槽嵴重建术是治疗无牙颌牙槽嵴严重吸收、萎缩的一种方法。</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4.牙体缺损最常见的原因是龋病其次是外伤、磨损、楔状缺损、酸蚀和发育畸形等。</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5.正常人的开口度为3.7~4.5 cm，低于该值表明有张口受限。</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6.下颌最大侧方运动范围正常情况下约为12 mm。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7.固定义齿修复的最佳时间一般是在拔牙后3个月。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8.牙体预备完毕后，避免使用有强烈刺激的消毒剂，尤其是接近牙髓的深洞和牙颈部，一般常采用75%乙醇消毒。</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9.固位力是指修复体在行使功能时能抵御各种作用力而不发生移位或脱落。</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10.修复体的主要固位力来自于摩擦力和粘结力。</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11.为了避免修复体与龈组织接触，有人主张将修复体边缘止于距龈缘2 mm处，其好处是不再刺激牙龈，也便于边缘的检查。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12.把修复体龈边缘设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计在与龈缘平齐，似乎可兼顾龈上和龈下两种设计的优点，可是在齐龈缘处菌斑容易积聚，加上修复体边缘处约有20 μm的缝隙易形成继发龋坏和龈缘炎。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13.常用的牙体缺损修复方法有嵌体、部分冠、全冠和桩核冠。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14.理想的桩直径应为根径的1/3-1/4。</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15.全冠修复步骤中不可能对牙髓造成危害的是用橡胶印模材取印模。</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16.人造冠边缘与牙体组织间无明显缝隙，允许的微小间隙不超过50 μm。</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17.粘固剂的最大厚度一般不得超过30 μm，否则会增加被膜厚度而使修复体粘固后加高咬合。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18.修复体使用之后出现过敏性疼痛的主要原因有：继发性龋、牙龈退缩、粘固剂脱落或溶解。</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19.修复体粘固后出现自发性疼痛，其常见原因为牙髓炎、金属微电流刺激和根尖炎或牙周炎。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20.导致牙列缺损的常见原因是龋病。</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21.固位桥的组成部分是固位体、桥体、连接体。</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22.完全固定桥是指双端固定桥。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23.粘结固定桥是利用酸蚀、粘结技术将固定桥直接粘固于基牙上，修复牙列缺损，其固位主要依靠粘结材料的粘结力，而牙体制备的固位形为辅助固位作用。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24.半固定桥一般适用于基牙倾斜度大，若采用双端固定桥修复，难于求得共同就位道的病例。</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嵌体的适应证有：①各种牙体缺损已涉及牙尖、切角、边缘嵴以及面，而不能使用一般材料充填修复者。②因为牙体缺损的邻接不良或食物嵌塞严重，需恢复邻面接触点但仍存在有较大体积的健康牙体组织，可以为嵌体提供足够抗力者。</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26.粘结剂中的氢原子和被粘物表面的氧化物之间可以形成氢键结合，并可成为很强的粘结力。</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27.面预备的目的是为铸造金属全冠提供面间隙，一般为1.0 mm,并为修复体建立正常关系提供条件。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28.铸造全冠颈部肩台通常为非贵金属0.5 mm~0.8 mm宽，贵金属0.35~0.5mm宽，铸造全冠常用肩台为戊凹形和圆角形肩台。</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29.最有可能设计为单端固定桥的情况是上颌侧切牙缺失。</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30.衡量一个牙是否为良好基牙的最重要指标是牙周膜面积。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31.设计固定义齿时，增加基牙的目的是为了分散力，减轻基牙的负荷。</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32.固定桥最重要的支持基础是牙周膜。</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33.如果牙槽突的吸收超过根长的1/3，就不宜选作基牙。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34.全冠是临床上最常用的固定桥的固位体。</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35.固定桥倾斜牙作基牙，如患者年轻，首选的方法是正畸后再修复。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36.最适宜作桥体龈面的材料是烤瓷。</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37.烤瓷熔附金属桥体是临床上应用最为广泛的桥体类型。</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38.接触式桥体的龈端与牙槽嵴黏膜接触，为临床常采用的一种桥体形式。</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39.在设计右上第一前磨牙桥体时，在口腔条件正常的情况下，最合理的龈端类型是改良盖嵴式。</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一般拔牙后的1~3个月内，牙槽突吸收较快，以后逐渐趋于稳定，所以固定桥修复最好是在牙槽嵴的吸收比较稳定之后进行，即拔牙后的3个月左右，使桥体龈端与牙槽嵴黏膜有良好的接触，避免在牙槽嵴的吸收未稳定前作固定桥修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41.力是导致挠曲的主要原因。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42.固定连接体应位于天然牙的近中或远中面的接触区，即接近切端或面的1/2部位，其面积不应小于4~10 mm2。</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43.活动连接体适用于半固定桥的活动连接端，一般设计于后牙固定桥。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44.与塑料牙比较，瓷牙的特点是硬度大，咀嚼效率高，脆性大，不易磨改。</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45.可摘局部义齿按面形态不同，可分为解剖式牙、非解剖式牙和半解剖式牙。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46.与解剖式人工牙比较，非解剖式人工牙咀嚼效能差，侧向力小。</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47.基托能修复缺损的牙槽骨、颌骨和软组织，并加强义齿的固位与稳定。</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48.与金属基托比较，塑料基托色泽美观，近似黏膜，操作简便，价廉，重量轻，便于修补和衬垫，但坚韧度差，受力大时基托易折裂；温度传导作用差，且不易自洁。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49.在塑料基托中加金属网状物，可以增加基托的坚固性，金属网要放置在基托应力集中处。</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50.上颌后牙游离端义齿基托后缘应伸展应伸展到翼上颌切迹，远中颊侧应盖过上颌结节，后缘中部应到硬软腭交界处稍盖过软腭。</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1.心理学主要的学科分支：临床心理学、健康心理学、神经心理学、护理心理学、咨询心理学、异常心理学、行为医学、心身医学、心理生理学和生理心理学。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2.医学心理学的研究对象为影响健康的有关心理问题和行为。</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3.晤谈法是医学心理学最基本的，也是最重要的方法。</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4.记忆的分类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按加工方式或保持时间：感觉记忆、短时记忆和长时记忆；（2）按内容：形象记忆、逻辑记忆、情绪记忆和运动记忆；（3）按时空关系，将长时记忆分为两类：情景记忆和语言记忆；（4）按获得的方式：陈述性记忆和程序性记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5.动机冲突的四种基本形式</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（1）双趋冲突：两个目标具有相同的吸引力，引起同等强度的动机，但无法同时实现，二者必择其一，所谓“鱼和熊掌不可兼得”。</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（2）双避冲突：个体回避一个威胁性目标的同时又面临另一个威胁性目标的出现，“前有狼，后有虎”的矛盾冲突。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（3）趋避冲突：指一个人对同一事物同时产生两种动机，既向往得到，同时又想拒绝和避开它，“既爱又恨”的矛盾冲突。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（4）双重趋避：冲突人们常常会遇到多个目标，每个目标对自己都有利有弊，反复权衡拿不定主意所产生的冲突。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6.青少年心理健康的常见问题：性生理、性心理、性道德教育。</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7.意志是自觉地确定目的，并根据目的来支配自己的行动，克服困难，以实现目的的心理过程。意志行动是有目的的行动，这是意志活动的前提；意志行动总是与克服困难相联系。克服困难是意志行动的核心；意志行动以随意运动为基础。</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8.心身疾病的诊断标准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（1）有躯体症状、体征和化验检查证明确有器质性病变；（2）有明确的心理社会因素与症状和疾病的发生发展密切相关；（3）排除神经症或精神病。</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9.心理评估的基本程序：确定评估的目的、明确评估问题与方法、了解特殊问题、结果描述与报告。</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0.心理健康的标准：（1）智力正常；（2）情绪良好；（3）人际和谐；（4）适应环境；（5）人格完整。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1.应用心理测验的一般原则：（1）标准化原则；（2）保密原则；（3）客观性原则。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w:t>
      </w:r>
      <w:r>
        <w:rPr>
          <w:rFonts w:hint="eastAsia" w:asciiTheme="minorEastAsia" w:hAnsiTheme="minorEastAsia" w:eastAsiaTheme="minorEastAsia" w:cstheme="minorEastAsia"/>
          <w:sz w:val="21"/>
          <w:szCs w:val="21"/>
          <w:lang w:val="en-US" w:eastAsia="zh-CN"/>
        </w:rPr>
        <w:t>.精神分析疗法中最核心的就是自由联想，不干预，让患者自由地说，后分析潜意识的问题。</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w:t>
      </w:r>
      <w:r>
        <w:rPr>
          <w:rFonts w:hint="eastAsia" w:asciiTheme="minorEastAsia" w:hAnsiTheme="minorEastAsia" w:eastAsiaTheme="minorEastAsia" w:cstheme="minorEastAsia"/>
          <w:sz w:val="21"/>
          <w:szCs w:val="21"/>
          <w:lang w:val="en-US" w:eastAsia="zh-CN"/>
        </w:rPr>
        <w:t>.行为治疗的具体方法和适应证：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（1）方法：系统脱敏疗法、冲击疗法、厌恶疗法、放松训练。</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（2）适应证：神经症、心身疾病、人格障碍、药物和酒精依赖、其他不良习惯等。</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4.心理治疗的原则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（1）治疗关系的建立原则：单向性、系统性、正式性、时限性。</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（2）心理治疗的原则：信赖性原则、整体性原则、发展性原则、个性化原则、中立性原则、保密性原则、回避性原则、尊重原则、接纳原则、灵活原则、综合原则、真诚原则、关系限定原则、时间限定原则。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5.人本主义疗法的特点：“以人为中心疗法”中，将医患关系视为改变和成长的最重要的治疗因素。医师应具备的三种成功的态度是：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（1）无条件积极关注；（2）共情：设身处地地理解和分享患者的内心世界的感情；（3）真诚一致。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6.医患关系的类型、特点及适用人群</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类型主动-被动型指导-合作型共同参与型特点医生处于主动，患者完全被动接受（“父母-婴儿”模式）医生告诉患者应该做什么和怎么做，病人处于被动配合地位（“父母-儿童”模式）医生帮助病人自我恢复，病人是合作者，也是积极的参与者（“成人-成人”模式）适用人群医疗意识严重障碍者、婴幼儿、智力低下者、精神病病人急性感染期病人，病情较轻的患者，如阑尾炎手术后慢性疾病且具有一定知识的病人17.角色行为的类型</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（1）角色行为缺如：否认自己有病，未能进入角色。</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（2）角色行为冲突：病人自身角色与其他角色发生心理冲突，同一个个体常常承担多种社会角色。</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（3）角色行为减退：因为其他角色冲击病人角色，从事了不应承担的活动。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（4）角色行为强化：安于现状，期望继续享受病人角色所获得的利益。</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（5）角色行为异常：患者受病痛折磨产生悲观、失望等不良心境而导致行为异常。</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w:t>
      </w:r>
      <w:r>
        <w:rPr>
          <w:rFonts w:hint="eastAsia" w:asciiTheme="minorEastAsia" w:hAnsiTheme="minorEastAsia" w:eastAsiaTheme="minorEastAsia" w:cstheme="minorEastAsia"/>
          <w:sz w:val="21"/>
          <w:szCs w:val="21"/>
          <w:lang w:val="en-US" w:eastAsia="zh-CN"/>
        </w:rPr>
        <w:t>.统计资料的分类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（1）计数资料：又称定性资料。一般无计量单位，如肤色、血型、职业、性别等。</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（2）计量资料：又称定量资料。有计量单位，如身高、体重、血压等。</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（3）等级资料：又称半定量资料。有大小顺序，所以也叫有序分类资料。如癌症分期：早、中、晚。</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8.医学伦理学的基本原则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（1）尊重原则：对患者的人格尊严及其自主性的尊重。尊重患者的自主决定权，如知情同意、知情选择。</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（2）不伤害原则：在医学实践中，不伤害是指在诊治、护理过程中不使患者的心身受到损伤。</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有利原则：指医务人员的诊治、护理行为对患者确有助益,既能减轻痛苦，又能促进康复。广义的有利原则：不仅对患者有利，而且医务人员的行为有利于医学事业和医学科学的发展，有利于促进人群、人类的健康和福利。</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公正原则：公正的实质原则是根据哪些方面来分配负担和收益，如人们提出公正分配时可根据需要、个人的能力、对社会的贡献、在家庭中的角色地位等分配收益和负担，在现阶段我国稀有卫生资源的分配是根据公正的实质原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9.医患关系的概念和特点</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（1）概念：是以医疗活动中医方人员与患方人员之间相互影响、相互作用的结果，是求医行为与施医行为之间的互动和联系。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（2）医患关系的特点：①明确的目的性和目的的高度一致性；②利益满足和社会价值实现的统一性；③尊严权利上的平等性和医学知识上的不对称性；④医患冲突或纠纷的不可避免性。</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0.医患关系的基本模式：（1）主动-被动型；（2）指导-合作型；（3）共同参与型。</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1.患者的权利：（1）平等医疗权；（2）知情同意权；（3）隐私保护权；（4）损害索赔权；（5）医疗监督权。</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2.医务人员的关系特点：协作性、平等性、同一性、竞争性。</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3.询问病史的伦理要求：（1）举止端庄，态度热情；（2）全神贯注，语言得当；（3）耐心倾听，正确引导。</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4.体格检查的伦理要求：（1）全面系统，认真细致；（2）关心体贴，减少痛苦；（3）尊重患者，心正无私。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5.药物治疗的伦理要求：（1）对症下药，剂量安全；（2）合理配伍，细致观察；（3）节约费用，公正分配。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6.术前的伦理要求：（1）严格掌握指征，手术动机纯正；（2）保证病人的知情同意；（3）认真做好术前的准备，为手术的顺利进行创造条件。</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7.临床急救的伦理要求：（1）争分夺秒，力争患者转危为安；（2）勇担风险，团结协作；满腔热情，重视心理治疗；（3）全面考虑，维护社会公益。</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8.执行脑死亡标准的伦理意义：（1）科学地判定人的死亡；（2）有利于节约卫生资源和减轻负担；（3）有利于器官移植技术的开展；（4）维护了死者的尊严。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9.公共卫生伦理原则：（1）全社会参与原则；（2）社会公益原则；（3）社会公正原则；（4）互助协同原则；（5）信息公开原则。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0.人类辅助生殖技术的伦理原则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（1）有利于患者原则。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（2）知情同意原则：①夫妻双方自愿同意并签署书面知情同意书；②接受辅助生殖技术的夫妇在任何时间有权停止。</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（3）保护后代原则：①同一供者的精子、卵子最多只能使5名妇女受孕；②医务人员不得实施代孕技术；③医务人员不得实施以生育为目的的嵌合体胚胎技术。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（4）社会公益原则：①必须符合国家人口和计划生育法规，不得对单身女性实施人类辅助生殖技术；②不得实施非医学的性别选择；③医务人员不得实施生殖性克隆技术。</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（5）保密原则：①互盲原则：供方和受方互盲、供方和医务人员互盲、供方和后代互盲；②医疗机构和医务人员须对捐赠者和受者的有关信息保密。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（6）严防商业化原则：供精、供卵以捐赠为目的，不得买卖。</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（7）伦理监督的原则：对人类辅助生殖技术的全过程和有关研究进行监督。</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1.医学道德评价的3个方式：社会舆论、传统习俗、内心信念。</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2.执业医师资格证的考试年限</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（1）本科学历：试用期满1年——执业医师考试。</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（2）大专学历：试用期满1年——执业助理医师考试；工作满2年——执业医师考试。</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（3）中专学历：试用期满1年——执业助理医师考试，工作满5年——执业医师考试。</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3.获得执业医师资格或执业助理医师资格后2年内未注册者，申请注册时，还应提交在省级以上卫生行政部门指定的机构接受3~6个月的培训，并经考试合格的证明。</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4.不予注册的情形</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（1）受刑事处罚，自刑罚执行完毕之日起至申请注册之日止不满2年者。</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（2）受执业医师资格证吊销处罚的，自处罚决定之日起至申请注册之日止不满2年者。</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5.医师定期考核不合格处理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（1）考核不合格：县级以上卫生行政部门责令暂停执业活动3~6个月，并接受培训和继续医学教育。</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（2）再次考核：考核合格——继续执业；不合格——注销注册，收回医师执业证书。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6.医疗事故的分级：（1）1级医疗事故：死亡、重度残疾、植物人；（2）2级医疗事故：中度残疾与严重功能障碍；（3）3级医疗事故：轻度残疾与一般功能障碍；（4）4级医疗事故：有伤害、无残疾。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7.患者复印病历材料：</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（1）客观病历资料可复印：仪器检查、化验单，麻醉记录等。</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（2）主观病历绝对不可复印：病程记录、死亡病例讨论记录、疑难病例讨论记录、上级医师查房记录、会诊意见。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 xml:space="preserve">8.婚前医学检查：（1）严重遗传疾病；（2）指定传染病：艾滋病、麻风病、梅毒、淋病。 </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（3）有关精神病：精神分裂症、抑郁症、躁狂症 ；（5）对于不宜生育的严重遗传病如：21-三体综合征。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9.西药和中成药可以分别或同一张处方开具，但中药饮片应当单独开具处方。开具西药、中成药，每张处方不得超过5种药品。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0.处方开具当日有效，有效期最长不得超过3日。处方一般不得超过7日用量；急诊处方一般不得超过3日用量；麻醉药品注射剂仅限于医疗机构内使用。</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1.处方保存时间：普通、急诊、儿科处方——1年；医疗用毒性药品、第二类精神药品处方——2年；麻醉药品和第一类精神药品——3年。</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2.麻醉药品、第一类精神病药品处方</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分类剂型一般患者中重度慢性疼痛癌症患者精一注射剂 1次常用量 3日量 其他剂型 3日量 7日量 控缓释剂 7日量 15日量精二不超过7日量 医疗毒性药品 不超过2日量 哌替啶处方1次量，限于医疗机构；二氢埃托啡1次量，二级以上医院开具43.药品管理法将药品分为两类</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（1）假药：①药品所含成分与国家药品标准规定不符；②非药品冒充药品；③以其他药品冒充此种药品。</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（2）按假药论处：变质、污染、无文号、扩大功效。</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（3）劣药：药品成分含量不符合国家药品标准规定。</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（4）按劣药论处：①未标明有效期或更改有效期的；②不注明或者更改生产批号的；③超过有效期的；④直接接触药品包装的材料未经批准；⑤擅自添加着色剂、防腐剂、香料、矫味剂等。</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正态分布曲线：以均数为中心，左右两侧基本对称，形成一个中间多、两侧逐渐减少、基本对称的分布。其位置与均数有关，均数增大，曲线右移，反之左移；其形状与标准差有关，标准差增大，则离散趋势大，曲线变矮胖，反之离散趋势小，曲线变高瘦。</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4.抗菌药物的分类管理：（1）非限制使用级：普通医师均可开据；（2）限制使用级：必须中级职称以上；（3）特殊使用级：必须高级职称以上医师开具。</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5.紧急情况可以越级使用抗菌药物，但24小时内必须补办越级使用的必要手续。紧急情况抢教病人，必须6小时内据实补记病历。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6.医师申请输血量的标准：（1）血量＜800m，由具有中级以上职称的医师提出申请，上级医师核准签发；（2）血量800~1600mL，由具有中级以上职称医师提出申请，经上级医师审核，科室主任核准签发；（3）血量≥1600mL，由具有中级以上医师提出申请，经上级医师审核，科室主任核准签发，报医务部门批准。</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7.出具有关虚假医学证明或者进行胎儿性别鉴定的，由医疗保健机构或卫生行政部门根据情节给予行政处分；情节严重的，依法取消执业资格。</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8.三级预防策略</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（1）第一级预防：又称病因预防。是针对病因所采取的预防措施。它既包括针对健康个体的措施，也包括针对整个公众的社会措施。</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第二级预防：也称临床前期预防。“三早”：早发现、早诊断、早治疗，以控制疾病的发展和恶化。对于传染病，除了“三早”，尚需做到疫情早报告、患者早隔离，即“五早”疾病筛检是早期发现疾病的措施之一，也属于二级预防措施。</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（3）第三级预防：即临床预防。对已患某些病者，采取及时的、有效的治疗和康复措施，使患者尽量恢复生活和劳动能力，能参加社会活动并延长寿命。</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9.对正态分布数据：（1）集中趋势：常用算术均数；（2）离散趋势：常用标准差。</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0.对非正态分布数据：（1）集中趋势：中位数，几何均数；（2）离散趋势：四分位数间距。</w:t>
      </w:r>
    </w:p>
    <w:sectPr>
      <w:headerReference r:id="rId3" w:type="default"/>
      <w:pgSz w:w="11906" w:h="16838"/>
      <w:pgMar w:top="1134" w:right="1134" w:bottom="1134" w:left="1134"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黑体" w:hAnsi="黑体" w:eastAsia="黑体" w:cs="黑体"/>
        <w:b w:val="0"/>
        <w:bCs w:val="0"/>
      </w:rPr>
    </w:pPr>
    <w:r>
      <w:rPr>
        <w:rFonts w:hint="eastAsia" w:ascii="黑体" w:hAnsi="黑体" w:eastAsia="黑体" w:cs="黑体"/>
        <w:b w:val="0"/>
        <w:bCs w:val="0"/>
        <w:sz w:val="21"/>
        <w:szCs w:val="24"/>
      </w:rPr>
      <w:t>品质即生命 品牌即未来</w:t>
    </w:r>
    <w:r>
      <w:rPr>
        <w:rFonts w:hint="eastAsia" w:ascii="黑体" w:hAnsi="黑体" w:eastAsia="黑体" w:cs="黑体"/>
        <w:b w:val="0"/>
        <w:bCs w:val="0"/>
        <w:sz w:val="18"/>
      </w:rPr>
      <w:pict>
        <v:shape id="PowerPlusWaterMarkObject29041" o:spid="_x0000_s4097" o:spt="136" type="#_x0000_t136" style="position:absolute;left:0pt;height:100.8pt;width:486.4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高端事业部" style="font-family:华文新魏;font-size:36pt;v-same-letter-heights:f;v-text-align:center;"/>
        </v:shape>
      </w:pict>
    </w:r>
    <w:r>
      <w:rPr>
        <w:rFonts w:hint="eastAsia" w:ascii="黑体" w:hAnsi="黑体" w:eastAsia="黑体" w:cs="黑体"/>
        <w:b w:val="0"/>
        <w:bCs w:val="0"/>
      </w:rPr>
      <w:ptab w:relativeTo="margin" w:alignment="center" w:leader="none"/>
    </w:r>
    <w:r>
      <w:rPr>
        <w:rFonts w:hint="eastAsia" w:ascii="黑体" w:hAnsi="黑体" w:eastAsia="黑体" w:cs="黑体"/>
        <w:b w:val="0"/>
        <w:bCs w:val="0"/>
      </w:rPr>
      <w:ptab w:relativeTo="margin" w:alignment="right" w:leader="none"/>
    </w:r>
    <w:r>
      <w:rPr>
        <w:rFonts w:hint="eastAsia" w:ascii="黑体" w:hAnsi="黑体" w:eastAsia="黑体" w:cs="黑体"/>
        <w:b w:val="0"/>
        <w:bCs w:val="0"/>
      </w:rPr>
      <w:drawing>
        <wp:inline distT="0" distB="0" distL="0" distR="0">
          <wp:extent cx="1025525" cy="214630"/>
          <wp:effectExtent l="0" t="0" r="3175" b="13970"/>
          <wp:docPr id="29" name="图片 29" descr="C:\Users\ZHAN\Desktop\logo png格式\带注册商标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ZHAN\Desktop\logo png格式\带注册商标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6176" cy="21473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23CA3"/>
    <w:rsid w:val="010E2C7D"/>
    <w:rsid w:val="0529758C"/>
    <w:rsid w:val="09517C34"/>
    <w:rsid w:val="0EC42C76"/>
    <w:rsid w:val="14BD4D4E"/>
    <w:rsid w:val="208258F0"/>
    <w:rsid w:val="229350DA"/>
    <w:rsid w:val="239600F3"/>
    <w:rsid w:val="2C5F42AB"/>
    <w:rsid w:val="2D843074"/>
    <w:rsid w:val="3024725A"/>
    <w:rsid w:val="32FF6D70"/>
    <w:rsid w:val="36367E25"/>
    <w:rsid w:val="3BF92065"/>
    <w:rsid w:val="3ECE1D20"/>
    <w:rsid w:val="419A5A76"/>
    <w:rsid w:val="45325A8E"/>
    <w:rsid w:val="46201625"/>
    <w:rsid w:val="4BFB3B2E"/>
    <w:rsid w:val="4C1A68F8"/>
    <w:rsid w:val="4C51188D"/>
    <w:rsid w:val="528D15B9"/>
    <w:rsid w:val="54774CFA"/>
    <w:rsid w:val="57A92F73"/>
    <w:rsid w:val="77640EAD"/>
    <w:rsid w:val="7A9459FE"/>
    <w:rsid w:val="7C323CA3"/>
    <w:rsid w:val="7C370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2229</Words>
  <Characters>2571</Characters>
  <Lines>0</Lines>
  <Paragraphs>0</Paragraphs>
  <TotalTime>79</TotalTime>
  <ScaleCrop>false</ScaleCrop>
  <LinksUpToDate>false</LinksUpToDate>
  <CharactersWithSpaces>2575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2019-01-04T10:32:00Z</dcterms:created>
  <dc:creator>赵静～Claire</dc:creator>
  <cp:lastModifiedBy>闰土</cp:lastModifiedBy>
  <dcterms:modified xsi:type="dcterms:W3CDTF">2019-08-22T03:18:21Z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